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3480"/>
        <w:spacing w:before="459" w:line="185" w:lineRule="auto"/>
        <w:rPr>
          <w:rFonts w:ascii="Microsoft YaHei" w:hAnsi="Microsoft YaHei" w:eastAsia="Microsoft YaHei" w:cs="Microsoft YaHei"/>
          <w:sz w:val="107"/>
          <w:szCs w:val="107"/>
        </w:rPr>
      </w:pPr>
      <w:r>
        <w:rPr>
          <w:rFonts w:ascii="Microsoft YaHei" w:hAnsi="Microsoft YaHei" w:eastAsia="Microsoft YaHei" w:cs="Microsoft YaHei"/>
          <w:sz w:val="107"/>
          <w:szCs w:val="107"/>
          <w:color w:val="FFFFFF"/>
          <w:spacing w:val="-19"/>
        </w:rPr>
        <w:t>发</w:t>
      </w:r>
      <w:r>
        <w:rPr>
          <w:rFonts w:ascii="Microsoft YaHei" w:hAnsi="Microsoft YaHei" w:eastAsia="Microsoft YaHei" w:cs="Microsoft YaHei"/>
          <w:sz w:val="107"/>
          <w:szCs w:val="107"/>
          <w:color w:val="FFFFFF"/>
          <w:spacing w:val="-18"/>
        </w:rPr>
        <w:t>改系统涉企</w:t>
      </w:r>
      <w:r>
        <w:rPr>
          <w:rFonts w:ascii="Microsoft YaHei" w:hAnsi="Microsoft YaHei" w:eastAsia="Microsoft YaHei" w:cs="Microsoft YaHei"/>
          <w:sz w:val="107"/>
          <w:szCs w:val="107"/>
          <w:color w:val="FFFFFF"/>
          <w:spacing w:val="-18"/>
        </w:rPr>
        <w:t xml:space="preserve"> </w:t>
      </w:r>
      <w:r>
        <w:rPr>
          <w:rFonts w:ascii="Microsoft YaHei" w:hAnsi="Microsoft YaHei" w:eastAsia="Microsoft YaHei" w:cs="Microsoft YaHei"/>
          <w:sz w:val="107"/>
          <w:szCs w:val="107"/>
          <w:color w:val="FFFFFF"/>
          <w:spacing w:val="-18"/>
        </w:rPr>
        <w:t>、</w:t>
      </w:r>
      <w:r>
        <w:rPr>
          <w:rFonts w:ascii="Microsoft YaHei" w:hAnsi="Microsoft YaHei" w:eastAsia="Microsoft YaHei" w:cs="Microsoft YaHei"/>
          <w:sz w:val="107"/>
          <w:szCs w:val="107"/>
          <w:color w:val="FFFFFF"/>
          <w:spacing w:val="-18"/>
        </w:rPr>
        <w:t xml:space="preserve">  </w:t>
      </w:r>
      <w:r>
        <w:rPr>
          <w:rFonts w:ascii="Microsoft YaHei" w:hAnsi="Microsoft YaHei" w:eastAsia="Microsoft YaHei" w:cs="Microsoft YaHei"/>
          <w:sz w:val="107"/>
          <w:szCs w:val="107"/>
          <w:color w:val="FFFFFF"/>
          <w:spacing w:val="-18"/>
        </w:rPr>
        <w:t>惠企政策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8641"/>
        <w:spacing w:before="274" w:line="182" w:lineRule="auto"/>
        <w:rPr>
          <w:rFonts w:ascii="Microsoft YaHei" w:hAnsi="Microsoft YaHei" w:eastAsia="Microsoft YaHei" w:cs="Microsoft YaHei"/>
          <w:sz w:val="64"/>
          <w:szCs w:val="64"/>
        </w:rPr>
      </w:pPr>
      <w:r>
        <w:rPr>
          <w:rFonts w:ascii="Microsoft YaHei" w:hAnsi="Microsoft YaHei" w:eastAsia="Microsoft YaHei" w:cs="Microsoft YaHei"/>
          <w:sz w:val="64"/>
          <w:szCs w:val="64"/>
          <w:color w:val="FFFFFF"/>
          <w14:textOutline w14:w="9525" w14:cap="flat" w14:cmpd="sng">
            <w14:solidFill>
              <w14:srgbClr w14:val="FFFFFF"/>
            </w14:solidFill>
            <w14:prstDash w14:val="solid"/>
            <w14:miter w14:lim="0"/>
          </w14:textOutline>
          <w:spacing w:val="40"/>
        </w:rPr>
        <w:t>谭</w:t>
      </w:r>
      <w:r>
        <w:rPr>
          <w:rFonts w:ascii="Microsoft YaHei" w:hAnsi="Microsoft YaHei" w:eastAsia="Microsoft YaHei" w:cs="Microsoft YaHei"/>
          <w:sz w:val="64"/>
          <w:szCs w:val="64"/>
          <w:color w:val="FFFFFF"/>
          <w:spacing w:val="40"/>
        </w:rPr>
        <w:t xml:space="preserve"> </w:t>
      </w:r>
      <w:r>
        <w:rPr>
          <w:rFonts w:ascii="Microsoft YaHei" w:hAnsi="Microsoft YaHei" w:eastAsia="Microsoft YaHei" w:cs="Microsoft YaHei"/>
          <w:sz w:val="64"/>
          <w:szCs w:val="64"/>
          <w:color w:val="FFFFFF"/>
          <w14:textOutline w14:w="9525" w14:cap="flat" w14:cmpd="sng">
            <w14:solidFill>
              <w14:srgbClr w14:val="FFFFFF"/>
            </w14:solidFill>
            <w14:prstDash w14:val="solid"/>
            <w14:miter w14:lim="0"/>
          </w14:textOutline>
          <w:spacing w:val="40"/>
        </w:rPr>
        <w:t>伟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6979"/>
        <w:spacing w:line="687" w:lineRule="exact"/>
        <w:textAlignment w:val="center"/>
        <w:rPr/>
      </w:pPr>
      <w:r>
        <w:drawing>
          <wp:inline distT="0" distB="0" distL="0" distR="0">
            <wp:extent cx="3190062" cy="43576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0062" cy="43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8395"/>
        <w:spacing w:before="172" w:line="183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3"/>
        </w:rPr>
        <w:t>2</w:t>
      </w:r>
      <w:r>
        <w:rPr>
          <w:rFonts w:ascii="Microsoft YaHei" w:hAnsi="Microsoft YaHei" w:eastAsia="Microsoft YaHei" w:cs="Microsoft YaHei"/>
          <w:sz w:val="40"/>
          <w:szCs w:val="40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3"/>
        </w:rPr>
        <w:t>0</w:t>
      </w:r>
      <w:r>
        <w:rPr>
          <w:rFonts w:ascii="Microsoft YaHei" w:hAnsi="Microsoft YaHei" w:eastAsia="Microsoft YaHei" w:cs="Microsoft YaHei"/>
          <w:sz w:val="40"/>
          <w:szCs w:val="40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3"/>
        </w:rPr>
        <w:t>2</w:t>
      </w:r>
      <w:r>
        <w:rPr>
          <w:rFonts w:ascii="Microsoft YaHei" w:hAnsi="Microsoft YaHei" w:eastAsia="Microsoft YaHei" w:cs="Microsoft YaHei"/>
          <w:sz w:val="40"/>
          <w:szCs w:val="40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3"/>
        </w:rPr>
        <w:t>3</w:t>
      </w:r>
      <w:r>
        <w:rPr>
          <w:rFonts w:ascii="Microsoft YaHei" w:hAnsi="Microsoft YaHei" w:eastAsia="Microsoft YaHei" w:cs="Microsoft YaHei"/>
          <w:sz w:val="40"/>
          <w:szCs w:val="40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3"/>
        </w:rPr>
        <w:t>年</w:t>
      </w:r>
      <w:r>
        <w:rPr>
          <w:rFonts w:ascii="Microsoft YaHei" w:hAnsi="Microsoft YaHei" w:eastAsia="Microsoft YaHei" w:cs="Microsoft YaHei"/>
          <w:sz w:val="40"/>
          <w:szCs w:val="40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3"/>
        </w:rPr>
        <w:t>6</w:t>
      </w:r>
      <w:r>
        <w:rPr>
          <w:rFonts w:ascii="Microsoft YaHei" w:hAnsi="Microsoft YaHei" w:eastAsia="Microsoft YaHei" w:cs="Microsoft YaHei"/>
          <w:sz w:val="40"/>
          <w:szCs w:val="40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1"/>
        </w:rPr>
        <w:t>月</w:t>
      </w:r>
    </w:p>
    <w:p>
      <w:pPr>
        <w:sectPr>
          <w:headerReference w:type="default" r:id="rId1"/>
          <w:pgSz w:w="19200" w:h="10800"/>
          <w:pgMar w:top="400" w:right="0" w:bottom="0" w:left="0" w:header="0" w:footer="0" w:gutter="0"/>
        </w:sectPr>
        <w:rPr/>
      </w:pPr>
    </w:p>
    <w:p>
      <w:pPr>
        <w:ind w:left="2703"/>
        <w:spacing w:line="233" w:lineRule="auto"/>
        <w:rPr>
          <w:rFonts w:ascii="Microsoft YaHei" w:hAnsi="Microsoft YaHei" w:eastAsia="Microsoft YaHei" w:cs="Microsoft YaHei"/>
          <w:sz w:val="55"/>
          <w:szCs w:val="55"/>
        </w:rPr>
      </w:pPr>
      <w:r>
        <w:pict>
          <v:shape id="_x0000_s1" style="position:absolute;margin-left:576.216pt;margin-top:4.92743pt;mso-position-vertical-relative:text;mso-position-horizontal-relative:text;width:261.75pt;height:33.3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6" w:lineRule="auto"/>
                    <w:rPr>
                      <w:rFonts w:ascii="Microsoft YaHei" w:hAnsi="Microsoft YaHei" w:eastAsia="Microsoft YaHei" w:cs="Microsoft YaHei"/>
                      <w:sz w:val="47"/>
                      <w:szCs w:val="47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7"/>
                      <w:szCs w:val="47"/>
                      <w:color w:val="FFFFFF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53"/>
                    </w:rPr>
                    <w:t>第</w:t>
                  </w:r>
                  <w:r>
                    <w:rPr>
                      <w:rFonts w:ascii="Microsoft YaHei" w:hAnsi="Microsoft YaHei" w:eastAsia="Microsoft YaHei" w:cs="Microsoft YaHei"/>
                      <w:sz w:val="47"/>
                      <w:szCs w:val="47"/>
                      <w:color w:val="FFFFFF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49"/>
                    </w:rPr>
                    <w:t>三周期输配电价政策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-242247</wp:posOffset>
            </wp:positionV>
            <wp:extent cx="12192000" cy="964971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96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6931114</wp:posOffset>
            </wp:positionH>
            <wp:positionV relativeFrom="page">
              <wp:posOffset>955027</wp:posOffset>
            </wp:positionV>
            <wp:extent cx="4813858" cy="5874943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3858" cy="587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55"/>
          <w:szCs w:val="55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6"/>
        </w:rPr>
        <w:t>第</w:t>
      </w:r>
      <w:r>
        <w:rPr>
          <w:rFonts w:ascii="Microsoft YaHei" w:hAnsi="Microsoft YaHei" w:eastAsia="Microsoft YaHei" w:cs="Microsoft YaHei"/>
          <w:sz w:val="55"/>
          <w:szCs w:val="55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4"/>
        </w:rPr>
        <w:t>一部分：电力价格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63" w:lineRule="exact"/>
        <w:rPr/>
      </w:pPr>
      <w:r/>
    </w:p>
    <w:tbl>
      <w:tblPr>
        <w:tblStyle w:val="2"/>
        <w:tblW w:w="9380" w:type="dxa"/>
        <w:tblInd w:w="985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9380"/>
      </w:tblGrid>
      <w:tr>
        <w:trPr>
          <w:trHeight w:val="5080" w:hRule="atLeast"/>
        </w:trPr>
        <w:tc>
          <w:tcPr>
            <w:tcW w:w="93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366"/>
              <w:spacing w:before="151" w:line="227" w:lineRule="auto"/>
              <w:rPr>
                <w:rFonts w:ascii="Microsoft YaHei" w:hAnsi="Microsoft YaHei" w:eastAsia="Microsoft YaHei" w:cs="Microsoft YaHei"/>
                <w:sz w:val="35"/>
                <w:szCs w:val="35"/>
              </w:rPr>
            </w:pP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8"/>
              </w:rPr>
              <w:t>1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9"/>
              </w:rPr>
              <w:t>.文件名称：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9"/>
              </w:rPr>
              <w:t>山东省发改委《关于山东电网第三周期输</w:t>
            </w:r>
          </w:p>
          <w:p>
            <w:pPr>
              <w:ind w:left="346"/>
              <w:spacing w:line="1114" w:lineRule="exact"/>
              <w:rPr>
                <w:rFonts w:ascii="Microsoft YaHei" w:hAnsi="Microsoft YaHei" w:eastAsia="Microsoft YaHei" w:cs="Microsoft YaHei"/>
                <w:sz w:val="35"/>
                <w:szCs w:val="35"/>
              </w:rPr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-632459</wp:posOffset>
                  </wp:positionH>
                  <wp:positionV relativeFrom="paragraph">
                    <wp:posOffset>758711</wp:posOffset>
                  </wp:positionV>
                  <wp:extent cx="12192000" cy="3334511"/>
                  <wp:effectExtent l="0" t="0" r="0" b="0"/>
                  <wp:wrapNone/>
                  <wp:docPr id="5" name="IM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 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10"/>
                <w:position w:val="54"/>
              </w:rPr>
              <w:t>配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9"/>
                <w:position w:val="54"/>
              </w:rPr>
              <w:t>电价及有关事项的通知》</w:t>
            </w:r>
          </w:p>
          <w:p>
            <w:pPr>
              <w:ind w:left="356"/>
              <w:spacing w:before="1" w:line="234" w:lineRule="auto"/>
              <w:rPr>
                <w:rFonts w:ascii="Microsoft YaHei" w:hAnsi="Microsoft YaHei" w:eastAsia="Microsoft YaHei" w:cs="Microsoft YaHei"/>
                <w:sz w:val="35"/>
                <w:szCs w:val="35"/>
              </w:rPr>
            </w:pP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6"/>
              </w:rPr>
              <w:t>2.文号：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6"/>
              </w:rPr>
              <w:t>鲁发改价格〔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6"/>
              </w:rPr>
              <w:t>2023〕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6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6"/>
              </w:rPr>
              <w:t>393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5"/>
              </w:rPr>
              <w:t>号</w:t>
            </w:r>
          </w:p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ind w:left="363"/>
              <w:spacing w:before="150" w:line="234" w:lineRule="auto"/>
              <w:rPr>
                <w:rFonts w:ascii="Microsoft YaHei" w:hAnsi="Microsoft YaHei" w:eastAsia="Microsoft YaHei" w:cs="Microsoft YaHei"/>
                <w:sz w:val="35"/>
                <w:szCs w:val="35"/>
              </w:rPr>
            </w:pP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9"/>
              </w:rPr>
              <w:t>3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1"/>
              </w:rPr>
              <w:t>.执行时间：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11"/>
              </w:rPr>
              <w:t>自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1"/>
              </w:rPr>
              <w:t>2023年6月1日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11"/>
              </w:rPr>
              <w:t>起执行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3"/>
          <w:pgSz w:w="19200" w:h="10800"/>
          <w:pgMar w:top="382" w:right="0" w:bottom="0" w:left="0" w:header="0" w:footer="0" w:gutter="0"/>
        </w:sectPr>
        <w:rPr/>
      </w:pPr>
    </w:p>
    <w:p>
      <w:pPr>
        <w:ind w:left="2703"/>
        <w:spacing w:line="233" w:lineRule="auto"/>
        <w:rPr>
          <w:rFonts w:ascii="Microsoft YaHei" w:hAnsi="Microsoft YaHei" w:eastAsia="Microsoft YaHei" w:cs="Microsoft YaHei"/>
          <w:sz w:val="55"/>
          <w:szCs w:val="55"/>
        </w:rPr>
      </w:pPr>
      <w:r>
        <w:pict>
          <v:shape id="_x0000_s2" style="position:absolute;margin-left:576.216pt;margin-top:4.92743pt;mso-position-vertical-relative:text;mso-position-horizontal-relative:text;width:261.75pt;height:33.3pt;z-index:25166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6" w:lineRule="auto"/>
                    <w:rPr>
                      <w:rFonts w:ascii="Microsoft YaHei" w:hAnsi="Microsoft YaHei" w:eastAsia="Microsoft YaHei" w:cs="Microsoft YaHei"/>
                      <w:sz w:val="47"/>
                      <w:szCs w:val="47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7"/>
                      <w:szCs w:val="47"/>
                      <w:color w:val="FFFFFF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53"/>
                    </w:rPr>
                    <w:t>第</w:t>
                  </w:r>
                  <w:r>
                    <w:rPr>
                      <w:rFonts w:ascii="Microsoft YaHei" w:hAnsi="Microsoft YaHei" w:eastAsia="Microsoft YaHei" w:cs="Microsoft YaHei"/>
                      <w:sz w:val="47"/>
                      <w:szCs w:val="47"/>
                      <w:color w:val="FFFFFF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49"/>
                    </w:rPr>
                    <w:t>三周期输配电价政策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-242247</wp:posOffset>
            </wp:positionV>
            <wp:extent cx="12192000" cy="964971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96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7025640</wp:posOffset>
            </wp:positionH>
            <wp:positionV relativeFrom="page">
              <wp:posOffset>912875</wp:posOffset>
            </wp:positionV>
            <wp:extent cx="4648200" cy="5803391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48200" cy="5803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55"/>
          <w:szCs w:val="55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6"/>
        </w:rPr>
        <w:t>第</w:t>
      </w:r>
      <w:r>
        <w:rPr>
          <w:rFonts w:ascii="Microsoft YaHei" w:hAnsi="Microsoft YaHei" w:eastAsia="Microsoft YaHei" w:cs="Microsoft YaHei"/>
          <w:sz w:val="55"/>
          <w:szCs w:val="55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4"/>
        </w:rPr>
        <w:t>一部分：电力价格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72" w:lineRule="exact"/>
        <w:rPr/>
      </w:pPr>
      <w:r/>
    </w:p>
    <w:tbl>
      <w:tblPr>
        <w:tblStyle w:val="2"/>
        <w:tblW w:w="9689" w:type="dxa"/>
        <w:tblInd w:w="985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9689"/>
      </w:tblGrid>
      <w:tr>
        <w:trPr>
          <w:trHeight w:val="6940" w:hRule="atLeast"/>
        </w:trPr>
        <w:tc>
          <w:tcPr>
            <w:tcW w:w="968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382" w:right="590" w:firstLine="655"/>
              <w:spacing w:before="172" w:line="201" w:lineRule="auto"/>
              <w:tabs>
                <w:tab w:val="left" w:leader="empty" w:pos="1238"/>
              </w:tabs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ab/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(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一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国网山东省电力公司第三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监管周期输配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4"/>
              </w:rPr>
              <w:t>电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价标准附件1。</w:t>
            </w:r>
          </w:p>
          <w:p>
            <w:pPr>
              <w:ind w:left="359" w:right="414" w:firstLine="678"/>
              <w:spacing w:before="12" w:line="206" w:lineRule="auto"/>
              <w:tabs>
                <w:tab w:val="left" w:leader="empty" w:pos="1238"/>
              </w:tabs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-632459</wp:posOffset>
                  </wp:positionH>
                  <wp:positionV relativeFrom="paragraph">
                    <wp:posOffset>788417</wp:posOffset>
                  </wp:positionV>
                  <wp:extent cx="12192000" cy="3334511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ab/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(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二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原包含在输配电价内的上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网环节线损费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用在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输配电价外单列。现阶段，暂继续由电网企业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8"/>
              </w:rPr>
              <w:t>代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6"/>
              </w:rPr>
              <w:t>理采购线损电量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6"/>
              </w:rPr>
              <w:t>(纳入保障性电量,上网环节综合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>线损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率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为3.31%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，代理采购损益逐月清算，由此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2"/>
              </w:rPr>
              <w:t>产生的损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益由全体执行工商业用电价格的用户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(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以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2"/>
              </w:rPr>
              <w:t>下简称工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商业用户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分摊或分享。探索研究线损电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量由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用户直接采购的市场化机制。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382" w:right="0" w:bottom="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group id="_x0000_s3" style="mso-position-vertical-relative:line;mso-position-horizontal-relative:char;width:960pt;height:76pt;" filled="false" stroked="false" coordsize="19200,1520" coordorigin="0,0">
            <v:group id="_x0000_s4" style="position:absolute;left:0;top:0;width:19200;height:1520;" filled="false" stroked="false" coordsize="19200,1520" coordorigin="0,0">
              <v:shape id="_x0000_s5" style="position:absolute;left:0;top:0;width:19200;height:1380;" fillcolor="#00B0F0" filled="true" stroked="false" coordsize="19200,1380" coordorigin="0,0" path="m,l19200,0l19200,1380l0,1380l0,0xe"/>
              <v:shape id="_x0000_s6" style="position:absolute;left:0;top:1369;width:11815;height:150;" fillcolor="#E5AA57" filled="true" stroked="false" coordsize="11815,150" coordorigin="0,0" path="m,l11747,10l11815,150l0,150l0,0e"/>
              <v:shape id="_x0000_s7" style="position:absolute;left:11835;top:1369;width:7365;height:150;" fillcolor="#00B0F0" filled="true" stroked="false" coordsize="7365,150" coordorigin="0,0" path="m,l7365,0l7365,150l90,150l0,0e"/>
            </v:group>
            <v:shape id="_x0000_s8" style="position:absolute;left:10654;top:257;width:7782;height:1179;" filled="false" stroked="false" type="#_x0000_t75">
              <v:imagedata r:id="rId11"/>
            </v:shape>
            <v:shape id="_x0000_s9" style="position:absolute;left:2683;top:362;width:5209;height:95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4"/>
                      </w:rPr>
                      <w:t>一部分：电力价格</w:t>
                    </w:r>
                  </w:p>
                </w:txbxContent>
              </v:textbox>
            </v:shape>
            <v:shape id="_x0000_s10" style="position:absolute;left:11524;top:480;width:5235;height:6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6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3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49"/>
                      </w:rPr>
                      <w:t>三周期输配电价政策</w:t>
                    </w:r>
                  </w:p>
                </w:txbxContent>
              </v:textbox>
            </v:shape>
          </v:group>
        </w:pict>
      </w:r>
    </w:p>
    <w:p>
      <w:pPr>
        <w:spacing w:line="401" w:lineRule="auto"/>
        <w:rPr>
          <w:rFonts w:ascii="Arial"/>
          <w:sz w:val="21"/>
        </w:rPr>
      </w:pPr>
      <w:r/>
    </w:p>
    <w:p>
      <w:pPr>
        <w:ind w:left="1378" w:right="1055" w:firstLine="805"/>
        <w:spacing w:before="171" w:line="210" w:lineRule="auto"/>
        <w:tabs>
          <w:tab w:val="left" w:leader="empty" w:pos="2383"/>
        </w:tabs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</w:rPr>
        <w:tab/>
      </w:r>
      <w:r>
        <w:rPr>
          <w:rFonts w:ascii="Microsoft YaHei" w:hAnsi="Microsoft YaHei" w:eastAsia="Microsoft YaHei" w:cs="Microsoft YaHei"/>
          <w:sz w:val="40"/>
          <w:szCs w:val="40"/>
          <w:spacing w:val="4"/>
        </w:rPr>
        <w:t>(</w:t>
      </w:r>
      <w:r>
        <w:rPr>
          <w:rFonts w:ascii="Microsoft YaHei" w:hAnsi="Microsoft YaHei" w:eastAsia="Microsoft YaHei" w:cs="Microsoft YaHei"/>
          <w:sz w:val="40"/>
          <w:szCs w:val="4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4"/>
        </w:rPr>
        <w:t>三</w:t>
      </w:r>
      <w:r>
        <w:rPr>
          <w:rFonts w:ascii="Microsoft YaHei" w:hAnsi="Microsoft YaHei" w:eastAsia="Microsoft YaHei" w:cs="Microsoft YaHei"/>
          <w:sz w:val="40"/>
          <w:szCs w:val="4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4"/>
        </w:rPr>
        <w:t>)</w:t>
      </w:r>
      <w:r>
        <w:rPr>
          <w:rFonts w:ascii="Microsoft YaHei" w:hAnsi="Microsoft YaHei" w:eastAsia="Microsoft YaHei" w:cs="Microsoft YaHei"/>
          <w:sz w:val="40"/>
          <w:szCs w:val="4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4"/>
        </w:rPr>
        <w:t>工商业用户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>用</w:t>
      </w:r>
      <w:r>
        <w:rPr>
          <w:rFonts w:ascii="Microsoft YaHei" w:hAnsi="Microsoft YaHei" w:eastAsia="Microsoft YaHei" w:cs="Microsoft YaHei"/>
          <w:sz w:val="40"/>
          <w:szCs w:val="40"/>
          <w:spacing w:val="2"/>
        </w:rPr>
        <w:t>电价格，由上网电价</w:t>
      </w:r>
      <w:r>
        <w:rPr>
          <w:rFonts w:ascii="Microsoft YaHei" w:hAnsi="Microsoft YaHei" w:eastAsia="Microsoft YaHei" w:cs="Microsoft YaHei"/>
          <w:sz w:val="40"/>
          <w:szCs w:val="40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2"/>
        </w:rPr>
        <w:t>(含容量补偿电价，下同</w:t>
      </w:r>
      <w:r>
        <w:rPr>
          <w:rFonts w:ascii="Microsoft YaHei" w:hAnsi="Microsoft YaHei" w:eastAsia="Microsoft YaHei" w:cs="Microsoft YaHei"/>
          <w:sz w:val="40"/>
          <w:szCs w:val="40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2"/>
        </w:rPr>
        <w:t>)</w:t>
      </w:r>
      <w:r>
        <w:rPr>
          <w:rFonts w:ascii="Microsoft YaHei" w:hAnsi="Microsoft YaHei" w:eastAsia="Microsoft YaHei" w:cs="Microsoft YaHei"/>
          <w:sz w:val="40"/>
          <w:szCs w:val="40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2"/>
        </w:rPr>
        <w:t>、上网环节线损费用、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-1"/>
        </w:rPr>
        <w:t>输配电价、</w:t>
      </w:r>
      <w:r>
        <w:rPr>
          <w:rFonts w:ascii="Microsoft YaHei" w:hAnsi="Microsoft YaHei" w:eastAsia="Microsoft YaHei" w:cs="Microsoft YaHei"/>
          <w:sz w:val="40"/>
          <w:szCs w:val="40"/>
        </w:rPr>
        <w:t>系统运行费用、政府性基金及附加组成。其中，系统运行费用包括辅助服务费用、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  </w:t>
      </w:r>
      <w:r>
        <w:rPr>
          <w:rFonts w:ascii="Microsoft YaHei" w:hAnsi="Microsoft YaHei" w:eastAsia="Microsoft YaHei" w:cs="Microsoft YaHei"/>
          <w:sz w:val="40"/>
          <w:szCs w:val="40"/>
          <w:spacing w:val="-1"/>
        </w:rPr>
        <w:t>抽水蓄能容</w:t>
      </w:r>
      <w:r>
        <w:rPr>
          <w:rFonts w:ascii="Microsoft YaHei" w:hAnsi="Microsoft YaHei" w:eastAsia="Microsoft YaHei" w:cs="Microsoft YaHei"/>
          <w:sz w:val="40"/>
          <w:szCs w:val="40"/>
        </w:rPr>
        <w:t>量电费、各类损益分摊等。上网环节线损费用、系统运行费用、政府性基金及附加</w:t>
      </w:r>
    </w:p>
    <w:p>
      <w:pPr>
        <w:ind w:left="1377"/>
        <w:spacing w:before="1" w:line="175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spacing w:val="-1"/>
        </w:rPr>
        <w:t>等不参与</w:t>
      </w:r>
      <w:r>
        <w:rPr>
          <w:rFonts w:ascii="Microsoft YaHei" w:hAnsi="Microsoft YaHei" w:eastAsia="Microsoft YaHei" w:cs="Microsoft YaHei"/>
          <w:sz w:val="40"/>
          <w:szCs w:val="40"/>
        </w:rPr>
        <w:t>功率因数调整电费计算。</w:t>
      </w:r>
    </w:p>
    <w:p>
      <w:pPr>
        <w:ind w:left="1377" w:right="1376" w:firstLine="806"/>
        <w:spacing w:before="6" w:line="201" w:lineRule="auto"/>
        <w:tabs>
          <w:tab w:val="left" w:leader="empty" w:pos="2383"/>
        </w:tabs>
        <w:rPr>
          <w:rFonts w:ascii="Microsoft YaHei" w:hAnsi="Microsoft YaHei" w:eastAsia="Microsoft YaHei" w:cs="Microsoft YaHei"/>
          <w:sz w:val="40"/>
          <w:szCs w:val="4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734262</wp:posOffset>
            </wp:positionV>
            <wp:extent cx="12192000" cy="3334511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333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40"/>
          <w:szCs w:val="40"/>
        </w:rPr>
        <w:tab/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>(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>四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>)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>工商业用户用电价格中，容量补偿电价、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 xml:space="preserve">  </w:t>
      </w:r>
      <w:r>
        <w:rPr>
          <w:rFonts w:ascii="Microsoft YaHei" w:hAnsi="Microsoft YaHei" w:eastAsia="Microsoft YaHei" w:cs="Microsoft YaHei"/>
          <w:sz w:val="40"/>
          <w:szCs w:val="40"/>
          <w:spacing w:val="-1"/>
        </w:rPr>
        <w:t>电网企业代理购电用户</w:t>
      </w:r>
      <w:r>
        <w:rPr>
          <w:rFonts w:ascii="Microsoft YaHei" w:hAnsi="Microsoft YaHei" w:eastAsia="Microsoft YaHei" w:cs="Microsoft YaHei"/>
          <w:sz w:val="40"/>
          <w:szCs w:val="40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-1"/>
        </w:rPr>
        <w:t>(不含国家有专门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6"/>
        </w:rPr>
        <w:t>规定的电气化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>铁路牵引用电)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>代理购电价格执行分时电价政策，其余不执行分时电价政策。在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-1"/>
        </w:rPr>
        <w:t>保持抽水</w:t>
      </w:r>
      <w:r>
        <w:rPr>
          <w:rFonts w:ascii="Microsoft YaHei" w:hAnsi="Microsoft YaHei" w:eastAsia="Microsoft YaHei" w:cs="Microsoft YaHei"/>
          <w:sz w:val="40"/>
          <w:szCs w:val="40"/>
        </w:rPr>
        <w:t>蓄能容量电费总体水平基本稳定的基础上，根据山东电力系统用电负荷或净负荷特性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6"/>
        </w:rPr>
        <w:t>变化，参考现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>货电能量市场分时电价信号，研究探索基于峰荷责任法的抽水蓄能容量电费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>(分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14"/>
        </w:rPr>
        <w:t>摊</w:t>
      </w:r>
      <w:r>
        <w:rPr>
          <w:rFonts w:ascii="Microsoft YaHei" w:hAnsi="Microsoft YaHei" w:eastAsia="Microsoft YaHei" w:cs="Microsoft YaHei"/>
          <w:sz w:val="40"/>
          <w:szCs w:val="40"/>
          <w:spacing w:val="11"/>
        </w:rPr>
        <w:t>标</w:t>
      </w:r>
      <w:r>
        <w:rPr>
          <w:rFonts w:ascii="Microsoft YaHei" w:hAnsi="Microsoft YaHei" w:eastAsia="Microsoft YaHei" w:cs="Microsoft YaHei"/>
          <w:sz w:val="40"/>
          <w:szCs w:val="40"/>
          <w:spacing w:val="7"/>
        </w:rPr>
        <w:t>准)</w:t>
      </w:r>
      <w:r>
        <w:rPr>
          <w:rFonts w:ascii="Microsoft YaHei" w:hAnsi="Microsoft YaHei" w:eastAsia="Microsoft YaHei" w:cs="Microsoft YaHei"/>
          <w:sz w:val="40"/>
          <w:szCs w:val="4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7"/>
        </w:rPr>
        <w:t>收取方式。具体办法另行通知。</w:t>
      </w:r>
    </w:p>
    <w:p>
      <w:pPr>
        <w:ind w:left="1377" w:right="1120" w:firstLine="806"/>
        <w:spacing w:before="12" w:line="207" w:lineRule="auto"/>
        <w:tabs>
          <w:tab w:val="left" w:leader="empty" w:pos="2383"/>
        </w:tabs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</w:rPr>
        <w:tab/>
      </w:r>
      <w:r>
        <w:rPr>
          <w:rFonts w:ascii="Microsoft YaHei" w:hAnsi="Microsoft YaHei" w:eastAsia="Microsoft YaHei" w:cs="Microsoft YaHei"/>
          <w:sz w:val="40"/>
          <w:szCs w:val="40"/>
          <w:spacing w:val="1"/>
        </w:rPr>
        <w:t>(五)</w:t>
      </w:r>
      <w:r>
        <w:rPr>
          <w:rFonts w:ascii="Microsoft YaHei" w:hAnsi="Microsoft YaHei" w:eastAsia="Microsoft YaHei" w:cs="Microsoft YaHei"/>
          <w:sz w:val="40"/>
          <w:szCs w:val="4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1"/>
        </w:rPr>
        <w:t>工商业用户用电容量在100千伏安及</w:t>
      </w:r>
      <w:r>
        <w:rPr>
          <w:rFonts w:ascii="Microsoft YaHei" w:hAnsi="Microsoft YaHei" w:eastAsia="Microsoft YaHei" w:cs="Microsoft YaHei"/>
          <w:sz w:val="40"/>
          <w:szCs w:val="40"/>
        </w:rPr>
        <w:t>以下的，执行单一制电价。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 </w:t>
      </w:r>
      <w:r>
        <w:rPr>
          <w:rFonts w:ascii="Microsoft YaHei" w:hAnsi="Microsoft YaHei" w:eastAsia="Microsoft YaHei" w:cs="Microsoft YaHei"/>
          <w:sz w:val="40"/>
          <w:szCs w:val="40"/>
        </w:rPr>
        <w:t>100千伏安至315千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-10"/>
        </w:rPr>
        <w:t>伏安</w:t>
      </w:r>
      <w:r>
        <w:rPr>
          <w:rFonts w:ascii="Microsoft YaHei" w:hAnsi="Microsoft YaHei" w:eastAsia="Microsoft YaHei" w:cs="Microsoft YaHei"/>
          <w:sz w:val="40"/>
          <w:szCs w:val="40"/>
          <w:spacing w:val="-9"/>
        </w:rPr>
        <w:t>之</w:t>
      </w:r>
      <w:r>
        <w:rPr>
          <w:rFonts w:ascii="Microsoft YaHei" w:hAnsi="Microsoft YaHei" w:eastAsia="Microsoft YaHei" w:cs="Microsoft YaHei"/>
          <w:sz w:val="40"/>
          <w:szCs w:val="40"/>
          <w:spacing w:val="-5"/>
        </w:rPr>
        <w:t>间的，可选择执行单一制或两部制电价。</w:t>
      </w:r>
      <w:r>
        <w:rPr>
          <w:rFonts w:ascii="Microsoft YaHei" w:hAnsi="Microsoft YaHei" w:eastAsia="Microsoft YaHei" w:cs="Microsoft YaHei"/>
          <w:sz w:val="40"/>
          <w:szCs w:val="40"/>
          <w:spacing w:val="-5"/>
        </w:rPr>
        <w:t xml:space="preserve">  </w:t>
      </w:r>
      <w:r>
        <w:rPr>
          <w:rFonts w:ascii="Microsoft YaHei" w:hAnsi="Microsoft YaHei" w:eastAsia="Microsoft YaHei" w:cs="Microsoft YaHei"/>
          <w:sz w:val="40"/>
          <w:szCs w:val="40"/>
          <w:spacing w:val="-5"/>
        </w:rPr>
        <w:t>315千伏安及以上的，执行两部制电价；现执行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6"/>
        </w:rPr>
        <w:t>单一制电价的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>存量用户可继续执行单一制电价，也可选择执行两部制电价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3"/>
        </w:rPr>
        <w:t>(选择执行两部制电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 </w:t>
      </w:r>
      <w:r>
        <w:rPr>
          <w:rFonts w:ascii="Microsoft YaHei" w:hAnsi="Microsoft YaHei" w:eastAsia="Microsoft YaHei" w:cs="Microsoft YaHei"/>
          <w:sz w:val="40"/>
          <w:szCs w:val="40"/>
          <w:spacing w:val="-4"/>
        </w:rPr>
        <w:t>价后</w:t>
      </w:r>
      <w:r>
        <w:rPr>
          <w:rFonts w:ascii="Microsoft YaHei" w:hAnsi="Microsoft YaHei" w:eastAsia="Microsoft YaHei" w:cs="Microsoft YaHei"/>
          <w:sz w:val="40"/>
          <w:szCs w:val="40"/>
          <w:spacing w:val="-3"/>
        </w:rPr>
        <w:t>不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>可再变更)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 xml:space="preserve">  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>，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 xml:space="preserve"> </w:t>
      </w:r>
      <w:r>
        <w:rPr>
          <w:rFonts w:ascii="Microsoft YaHei" w:hAnsi="Microsoft YaHei" w:eastAsia="Microsoft YaHei" w:cs="Microsoft YaHei"/>
          <w:sz w:val="40"/>
          <w:szCs w:val="40"/>
          <w:spacing w:val="-2"/>
        </w:rPr>
        <w:t>自政策执行之日起，申请办理新装、增容、过户、并户、分户，以及电价</w:t>
      </w:r>
      <w:r>
        <w:rPr>
          <w:rFonts w:ascii="Microsoft YaHei" w:hAnsi="Microsoft YaHei" w:eastAsia="Microsoft YaHei" w:cs="Microsoft YaHei"/>
          <w:sz w:val="40"/>
          <w:szCs w:val="40"/>
        </w:rPr>
        <w:t xml:space="preserve">  </w:t>
      </w:r>
      <w:r>
        <w:rPr>
          <w:rFonts w:ascii="Microsoft YaHei" w:hAnsi="Microsoft YaHei" w:eastAsia="Microsoft YaHei" w:cs="Microsoft YaHei"/>
          <w:sz w:val="40"/>
          <w:szCs w:val="40"/>
          <w:spacing w:val="-1"/>
        </w:rPr>
        <w:t>变更改类</w:t>
      </w:r>
      <w:r>
        <w:rPr>
          <w:rFonts w:ascii="Microsoft YaHei" w:hAnsi="Microsoft YaHei" w:eastAsia="Microsoft YaHei" w:cs="Microsoft YaHei"/>
          <w:sz w:val="40"/>
          <w:szCs w:val="40"/>
        </w:rPr>
        <w:t>等业务的用户，不再视同为存量用户。</w:t>
      </w:r>
    </w:p>
    <w:p>
      <w:pPr>
        <w:sectPr>
          <w:headerReference w:type="default" r:id="rId10"/>
          <w:pgSz w:w="19200" w:h="10800"/>
          <w:pgMar w:top="1" w:right="0" w:bottom="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rect id="_x0000_s11" style="position:absolute;margin-left:0pt;margin-top:532.2pt;mso-position-vertical-relative:page;mso-position-horizontal-relative:page;width:960pt;height:7.8pt;z-index:251669504;" o:allowincell="f" fillcolor="#5B9BD5" filled="true" stroked="false"/>
        </w:pict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6745223</wp:posOffset>
            </wp:positionH>
            <wp:positionV relativeFrom="page">
              <wp:posOffset>914400</wp:posOffset>
            </wp:positionV>
            <wp:extent cx="4547615" cy="5475732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7615" cy="547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" style="mso-position-vertical-relative:line;mso-position-horizontal-relative:char;width:960pt;height:76pt;" filled="false" stroked="false" coordsize="19200,1520" coordorigin="0,0">
            <v:group id="_x0000_s13" style="position:absolute;left:0;top:0;width:19200;height:1520;" filled="false" stroked="false" coordsize="19200,1520" coordorigin="0,0">
              <v:shape id="_x0000_s14" style="position:absolute;left:0;top:0;width:19200;height:1380;" fillcolor="#00B0F0" filled="true" stroked="false" coordsize="19200,1380" coordorigin="0,0" path="m,l19200,0l19200,1380l0,1380l0,0xe"/>
              <v:shape id="_x0000_s15" style="position:absolute;left:0;top:1369;width:11815;height:150;" fillcolor="#E5AA57" filled="true" stroked="false" coordsize="11815,150" coordorigin="0,0" path="m,l11747,10l11815,150l0,150l0,0e"/>
              <v:shape id="_x0000_s16" style="position:absolute;left:11835;top:1369;width:7365;height:150;" fillcolor="#00B0F0" filled="true" stroked="false" coordsize="7365,150" coordorigin="0,0" path="m,l7365,0l7365,150l90,150l0,0e"/>
            </v:group>
            <v:shape id="_x0000_s17" style="position:absolute;left:10654;top:257;width:7782;height:1179;" filled="false" stroked="false" type="#_x0000_t75">
              <v:imagedata r:id="rId11"/>
            </v:shape>
            <v:shape id="_x0000_s18" style="position:absolute;left:2683;top:362;width:5209;height:95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4"/>
                      </w:rPr>
                      <w:t>一部分：电力价格</w:t>
                    </w:r>
                  </w:p>
                </w:txbxContent>
              </v:textbox>
            </v:shape>
            <v:shape id="_x0000_s19" style="position:absolute;left:11524;top:480;width:5235;height:6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6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3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49"/>
                      </w:rPr>
                      <w:t>三周期输配电价政策</w:t>
                    </w:r>
                  </w:p>
                </w:txbxContent>
              </v:textbox>
            </v:shape>
          </v:group>
        </w:pict>
      </w:r>
    </w:p>
    <w:p>
      <w:pPr>
        <w:ind w:firstLine="975"/>
        <w:spacing w:before="66" w:line="8397" w:lineRule="exact"/>
        <w:textAlignment w:val="center"/>
        <w:rPr/>
      </w:pPr>
      <w:r>
        <w:pict>
          <v:group id="_x0000_s20" style="mso-position-vertical-relative:line;mso-position-horizontal-relative:char;width:431.55pt;height:419.9pt;" filled="false" stroked="false" coordsize="8630,8397" coordorigin="0,0">
            <v:shape id="_x0000_s21" style="position:absolute;left:0;top:0;width:8630;height:8397;" filled="false" stroked="false" type="#_x0000_t75">
              <v:imagedata r:id="rId14"/>
            </v:shape>
            <v:shape id="_x0000_s22" style="position:absolute;left:-20;top:-20;width:8670;height:85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42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20" w:right="349" w:firstLine="848"/>
                      <w:spacing w:before="150" w:line="208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8"/>
                      </w:rPr>
                      <w:t>具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3"/>
                      </w:rPr>
                      <w:t>备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>条件的工商业用户选择执行单一制或两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8"/>
                      </w:rPr>
                      <w:t>部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6"/>
                      </w:rPr>
                      <w:t>制电价时，需提前15个工作日向电网企业申请。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6"/>
                      </w:rPr>
                      <w:t>1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5"/>
                      </w:rPr>
                      <w:t>0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8"/>
                      </w:rPr>
                      <w:t>0千伏安至315千伏安之间工商业用户选择变更</w:t>
                    </w:r>
                  </w:p>
                  <w:p>
                    <w:pPr>
                      <w:ind w:left="416"/>
                      <w:spacing w:before="1" w:line="179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8"/>
                      </w:rPr>
                      <w:t>周期不得少于12个月。</w:t>
                    </w:r>
                  </w:p>
                  <w:p>
                    <w:pPr>
                      <w:ind w:left="418" w:right="29" w:firstLine="813"/>
                      <w:spacing w:before="7" w:line="213" w:lineRule="auto"/>
                      <w:tabs>
                        <w:tab w:val="left" w:leader="empty" w:pos="1406"/>
                      </w:tabs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ab/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28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20"/>
                      </w:rPr>
                      <w:t>六)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2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20"/>
                      </w:rPr>
                      <w:t>两部制电价用户选择执行需量电价计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   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3"/>
                      </w:rPr>
                      <w:t>费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>方式的，每月每千伏安用电量达到260千瓦时及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  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2"/>
                      </w:rPr>
                      <w:t>以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6"/>
                      </w:rPr>
                      <w:t>上的，当月需量电价按本通知规定标准90%执行。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8"/>
                      </w:rPr>
                      <w:t>每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6"/>
                      </w:rPr>
                      <w:t>月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>每千伏安用电量为用户所属全部计量点当月总</w:t>
                    </w:r>
                  </w:p>
                  <w:p>
                    <w:pPr>
                      <w:ind w:left="421"/>
                      <w:spacing w:line="180" w:lineRule="auto"/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6"/>
                      </w:rPr>
                      <w:t>用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8"/>
                      </w:rPr>
                      <w:t>电量除以合同变压器容量。</w:t>
                    </w:r>
                  </w:p>
                  <w:p>
                    <w:pPr>
                      <w:ind w:left="418" w:right="567" w:firstLine="813"/>
                      <w:spacing w:line="207" w:lineRule="auto"/>
                      <w:tabs>
                        <w:tab w:val="left" w:leader="empty" w:pos="1406"/>
                      </w:tabs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ab/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2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>七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>居民生活、农业生产用电继续执行现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9"/>
                      </w:rPr>
                      <w:t>行目录销售电价政策。具体标准详见附件2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8"/>
                      </w:rPr>
                      <w:t>。</w:t>
                    </w:r>
                  </w:p>
                  <w:p>
                    <w:pPr>
                      <w:ind w:left="418" w:firstLine="810"/>
                      <w:spacing w:before="9" w:line="221" w:lineRule="auto"/>
                      <w:tabs>
                        <w:tab w:val="left" w:leader="empty" w:pos="1403"/>
                      </w:tabs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ab/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6"/>
                      </w:rPr>
                      <w:t>(八)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6"/>
                      </w:rPr>
                      <w:t>上述电价政策自2023年6月1日起执行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5"/>
                      </w:rPr>
                      <w:t>。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6"/>
                      </w:rPr>
                      <w:t>其中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0"/>
                      </w:rPr>
                      <w:t>，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8"/>
                      </w:rPr>
                      <w:t>涉及工商业用户两部制、单一制政策执行的，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12"/>
                      </w:rPr>
                      <w:t>以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8"/>
                      </w:rPr>
                      <w:t>用户提交新装、增容与变更用电正式申请时间为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4"/>
                      </w:rPr>
                      <w:t>节点</w:t>
                    </w:r>
                    <w:r>
                      <w:rPr>
                        <w:rFonts w:ascii="Microsoft YaHei" w:hAnsi="Microsoft YaHei" w:eastAsia="Microsoft YaHei" w:cs="Microsoft YaHei"/>
                        <w:sz w:val="35"/>
                        <w:szCs w:val="35"/>
                        <w:spacing w:val="3"/>
                      </w:rPr>
                      <w:t>。</w:t>
                    </w:r>
                  </w:p>
                </w:txbxContent>
              </v:textbox>
            </v:shape>
          </v:group>
        </w:pict>
      </w:r>
    </w:p>
    <w:p>
      <w:pPr>
        <w:sectPr>
          <w:headerReference w:type="default" r:id="rId3"/>
          <w:pgSz w:w="19200" w:h="10800"/>
          <w:pgMar w:top="1" w:right="0" w:bottom="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rect id="_x0000_s23" style="position:absolute;margin-left:474.089pt;margin-top:82.597pt;mso-position-vertical-relative:page;mso-position-horizontal-relative:page;width:447.35pt;height:1pt;z-index:251673600;" o:allowincell="f" fillcolor="#080000" filled="true" stroked="false"/>
        </w:pict>
      </w:r>
      <w:r>
        <w:pict>
          <v:shape id="_x0000_s24" style="position:absolute;margin-left:505.254pt;margin-top:266.041pt;mso-position-vertical-relative:page;mso-position-horizontal-relative:page;width:4.6pt;height:43.25pt;z-index:25167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:</w:t>
                  </w:r>
                </w:p>
                <w:p>
                  <w:pPr>
                    <w:ind w:left="20"/>
                    <w:spacing w:before="1" w:line="223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25" style="position:absolute;margin-left:525.257pt;margin-top:266.041pt;mso-position-vertical-relative:page;mso-position-horizontal-relative:page;width:26.8pt;height:43.25pt;z-index:251676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19" w:line="206" w:lineRule="auto"/>
                    <w:jc w:val="right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5"/>
                    </w:rPr>
                    <w:t>-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4"/>
                    </w:rPr>
                    <w:t xml:space="preserve">   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spacing w:val="-4"/>
                    </w:rPr>
                    <w:t>: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>
        <w:pict>
          <v:group id="_x0000_s26" style="position:absolute;margin-left:66.84pt;margin-top:91.2pt;mso-position-vertical-relative:page;mso-position-horizontal-relative:page;width:370.1pt;height:354.4pt;z-index:251672576;" o:allowincell="f" filled="false" stroked="false" coordsize="7402,7087" coordorigin="0,0">
            <v:group id="_x0000_s27" style="position:absolute;left:0;top:0;width:7402;height:7087;" filled="false" stroked="false" coordsize="7402,7087" coordorigin="0,0">
              <v:shape id="_x0000_s28" style="position:absolute;left:0;top:383;width:7402;height:6704;" fillcolor="#02BAC6" filled="true" stroked="false" coordsize="7402,6704" coordorigin="0,0" path="m,l7401,0l7401,6703l0,6703l0,0xe">
                <v:fill opacity="0.101961"/>
              </v:shape>
              <v:shape id="_x0000_s29" style="position:absolute;left:0;top:0;width:5590;height:759;" fillcolor="#009696" filled="true" stroked="false" coordsize="5590,759" coordorigin="0,0" path="m,l5210,0l5589,379l5589,758l0,758l0,0e"/>
            </v:group>
            <v:shape id="_x0000_s30" style="position:absolute;left:84;top:123;width:7285;height:543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53"/>
                      <w:spacing w:before="20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9"/>
                      </w:rPr>
                      <w:t>工</w:t>
                    </w: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8"/>
                      </w:rPr>
                      <w:t>商业分时电价</w:t>
                    </w:r>
                  </w:p>
                  <w:p>
                    <w:pPr>
                      <w:spacing w:line="29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 w:right="20" w:firstLine="896"/>
                      <w:spacing w:before="172" w:line="199" w:lineRule="auto"/>
                      <w:tabs>
                        <w:tab w:val="left" w:leader="empty" w:pos="220"/>
                      </w:tabs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1"/>
                      </w:rPr>
                      <w:t>高压代理购电用户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</w:rPr>
                      <w:t>调整后季节及时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4"/>
                      </w:rPr>
                      <w:t>段划分为：春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4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4"/>
                      </w:rPr>
                      <w:t>2-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>5月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>、夏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>6-8月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>、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12"/>
                      </w:rPr>
                      <w:t>秋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9-11月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、冬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12月、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1月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-6"/>
                      </w:rPr>
                      <w:t>，执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4"/>
                      </w:rPr>
                      <w:t>行尖峰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3"/>
                      </w:rPr>
                      <w:t>、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2"/>
                      </w:rPr>
                      <w:t>峰、平、谷、深谷五个时段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</w:rPr>
                      <w:t xml:space="preserve">     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</w:rPr>
                      <w:tab/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9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7"/>
                      </w:rPr>
                      <w:t>其中，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color w:val="FF0000"/>
                        <w:spacing w:val="7"/>
                      </w:rPr>
                      <w:t>夏季不执行深谷时段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7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7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7"/>
                      </w:rPr>
                      <w:t>，具体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10"/>
                      </w:rPr>
                      <w:t>如右图</w:t>
                    </w:r>
                    <w:r>
                      <w:rPr>
                        <w:rFonts w:ascii="Microsoft YaHei" w:hAnsi="Microsoft YaHei" w:eastAsia="Microsoft YaHei" w:cs="Microsoft YaHei"/>
                        <w:sz w:val="40"/>
                        <w:szCs w:val="40"/>
                        <w:spacing w:val="9"/>
                      </w:rPr>
                      <w:t>。</w:t>
                    </w:r>
                  </w:p>
                </w:txbxContent>
              </v:textbox>
            </v:shape>
          </v:group>
        </w:pict>
      </w:r>
      <w:r>
        <w:pict>
          <v:group id="_x0000_s31" style="mso-position-vertical-relative:line;mso-position-horizontal-relative:char;width:960pt;height:76pt;" filled="false" stroked="false" coordsize="19200,1520" coordorigin="0,0">
            <v:group id="_x0000_s32" style="position:absolute;left:0;top:0;width:19200;height:1520;" filled="false" stroked="false" coordsize="19200,1520" coordorigin="0,0">
              <v:shape id="_x0000_s33" style="position:absolute;left:0;top:0;width:19200;height:1380;" fillcolor="#00B0F0" filled="true" stroked="false" coordsize="19200,1380" coordorigin="0,0" path="m,l19200,0l19200,1380l0,1380l0,0xe"/>
              <v:shape id="_x0000_s34" style="position:absolute;left:0;top:1369;width:11815;height:150;" fillcolor="#E5AA57" filled="true" stroked="false" coordsize="11815,150" coordorigin="0,0" path="m,l11747,10l11815,150l0,150l0,0e"/>
              <v:shape id="_x0000_s35" style="position:absolute;left:11835;top:1369;width:7365;height:150;" fillcolor="#00B0F0" filled="true" stroked="false" coordsize="7365,150" coordorigin="0,0" path="m,l7365,0l7365,150l90,150l0,0e"/>
            </v:group>
            <v:shape id="_x0000_s36" style="position:absolute;left:10654;top:257;width:7782;height:1179;" filled="false" stroked="false" type="#_x0000_t75">
              <v:imagedata r:id="rId11"/>
            </v:shape>
            <v:shape id="_x0000_s37" style="position:absolute;left:2683;top:362;width:5209;height:95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4"/>
                      </w:rPr>
                      <w:t>一部分：电力价格</w:t>
                    </w:r>
                  </w:p>
                </w:txbxContent>
              </v:textbox>
            </v:shape>
            <v:shape id="_x0000_s38" style="position:absolute;left:11524;top:480;width:5235;height:6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6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3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49"/>
                      </w:rPr>
                      <w:t>三周期输配电价政策</w:t>
                    </w:r>
                  </w:p>
                </w:txbxContent>
              </v:textbox>
            </v:shape>
          </v:group>
        </w:pict>
      </w:r>
    </w:p>
    <w:p>
      <w:pPr>
        <w:ind w:firstLine="9482"/>
        <w:spacing w:before="141" w:line="1000" w:lineRule="exact"/>
        <w:textAlignment w:val="center"/>
        <w:rPr/>
      </w:pPr>
      <w:r>
        <w:pict>
          <v:group id="_x0000_s39" style="mso-position-vertical-relative:line;mso-position-horizontal-relative:char;width:447.4pt;height:50.4pt;" filled="false" stroked="false" coordsize="8947,1008" coordorigin="0,0">
            <v:shape id="_x0000_s40" style="position:absolute;left:0;top:0;width:8947;height:1266;" fillcolor="#009696" filled="true" stroked="false" type="#_x0000_t202">
              <v:fill on="tru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204" w:line="277" w:lineRule="auto"/>
                      <w:tabs>
                        <w:tab w:val="left" w:leader="empty" w:pos="820"/>
                      </w:tabs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position w:val="22"/>
                      </w:rPr>
                      <w:tab/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22"/>
                      </w:rPr>
                      <w:t>时段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22"/>
                      </w:rPr>
                      <w:t xml:space="preserve">             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22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22"/>
                      </w:rPr>
                      <w:t xml:space="preserve"> </w:t>
                    </w:r>
                    <w:r>
                      <w:ruby>
                        <w:rubyPr>
                          <w:rubyAlign w:val="left"/>
                          <w:hpsRaise w:val="22"/>
                          <w:hps w:val="28"/>
                          <w:hpsBaseText w:val="28"/>
                        </w:rubyPr>
                        <w:rt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-4"/>
                            </w:rPr>
                            <w:t>1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-3"/>
                            </w:rPr>
                            <w:t>2</w:t>
                          </w:r>
                        </w:rt>
                        <w:rubyBase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17"/>
                              <w:position w:val="-11"/>
                            </w:rPr>
                            <w:t>月</w:t>
                          </w:r>
                        </w:rubyBase>
                      </w:ruby>
                    </w:r>
                    <w:r>
                      <w:ruby>
                        <w:rubyPr>
                          <w:rubyAlign w:val="left"/>
                          <w:hpsRaise w:val="22"/>
                          <w:hps w:val="28"/>
                          <w:hpsBaseText w:val="28"/>
                        </w:rubyPr>
                        <w:rt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月</w:t>
                          </w:r>
                        </w:rt>
                        <w:rubyBase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54"/>
                              <w:position w:val="-11"/>
                            </w:rPr>
                            <w:t>)</w:t>
                          </w:r>
                        </w:rubyBase>
                      </w:ruby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22"/>
                      </w:rPr>
                      <w:t>-1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22"/>
                      </w:rPr>
                      <w:t xml:space="preserve">   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2</w:t>
                    </w:r>
                    <w:r>
                      <w:ruby>
                        <w:rubyPr>
                          <w:rubyAlign w:val="left"/>
                          <w:hpsRaise w:val="38"/>
                          <w:hps w:val="28"/>
                          <w:hpsBaseText w:val="28"/>
                        </w:rubyPr>
                        <w:rt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61"/>
                            </w:rPr>
                            <w:t>春</w:t>
                          </w:r>
                        </w:rt>
                        <w:rubyBase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position w:val="5"/>
                            </w:rPr>
                            <w:t>月-</w:t>
                          </w:r>
                        </w:rubyBase>
                      </w:ruby>
                    </w:r>
                    <w:r>
                      <w:ruby>
                        <w:rubyPr>
                          <w:rubyAlign w:val="left"/>
                          <w:hpsRaise w:val="38"/>
                          <w:hps w:val="28"/>
                          <w:hpsBaseText w:val="28"/>
                        </w:rubyPr>
                        <w:rt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-24"/>
                              <w:w w:val="86"/>
                            </w:rPr>
                            <w:t>季</w:t>
                          </w:r>
                        </w:rt>
                        <w:rubyBase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8"/>
                              <w:position w:val="5"/>
                            </w:rPr>
                            <w:t>5</w:t>
                          </w:r>
                        </w:rubyBase>
                      </w:ruby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月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5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6</w:t>
                    </w:r>
                    <w:r>
                      <w:ruby>
                        <w:rubyPr>
                          <w:rubyAlign w:val="left"/>
                          <w:hpsRaise w:val="38"/>
                          <w:hps w:val="28"/>
                          <w:hpsBaseText w:val="28"/>
                        </w:rubyPr>
                        <w:rt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61"/>
                            </w:rPr>
                            <w:t>夏</w:t>
                          </w:r>
                        </w:rt>
                        <w:rubyBase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1"/>
                              <w:position w:val="5"/>
                            </w:rPr>
                            <w:t>月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position w:val="5"/>
                            </w:rPr>
                            <w:t>-</w:t>
                          </w:r>
                        </w:rubyBase>
                      </w:ruby>
                    </w:r>
                    <w:r>
                      <w:ruby>
                        <w:rubyPr>
                          <w:rubyAlign w:val="left"/>
                          <w:hpsRaise w:val="38"/>
                          <w:hps w:val="28"/>
                          <w:hpsBaseText w:val="28"/>
                        </w:rubyPr>
                        <w:rt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-24"/>
                              <w:w w:val="86"/>
                            </w:rPr>
                            <w:t>季</w:t>
                          </w:r>
                        </w:rt>
                        <w:rubyBase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8"/>
                              <w:position w:val="5"/>
                            </w:rPr>
                            <w:t>8</w:t>
                          </w:r>
                        </w:rubyBase>
                      </w:ruby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月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5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(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5"/>
                        <w:position w:val="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9</w:t>
                    </w:r>
                    <w:r>
                      <w:ruby>
                        <w:rubyPr>
                          <w:rubyAlign w:val="left"/>
                          <w:hpsRaise w:val="38"/>
                          <w:hps w:val="28"/>
                          <w:hpsBaseText w:val="28"/>
                        </w:rubyPr>
                        <w:rt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148"/>
                            </w:rPr>
                            <w:t>秋</w:t>
                          </w:r>
                        </w:rt>
                        <w:rubyBase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1"/>
                              <w:position w:val="5"/>
                            </w:rPr>
                            <w:t>月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position w:val="5"/>
                            </w:rPr>
                            <w:t>-</w:t>
                          </w:r>
                        </w:rubyBase>
                      </w:ruby>
                    </w:r>
                    <w:r>
                      <w:ruby>
                        <w:rubyPr>
                          <w:rubyAlign w:val="left"/>
                          <w:hpsRaise w:val="38"/>
                          <w:hps w:val="28"/>
                          <w:hpsBaseText w:val="28"/>
                        </w:rubyPr>
                        <w:rt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季</w:t>
                          </w:r>
                        </w:rt>
                        <w:rubyBase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-6"/>
                              <w:position w:val="5"/>
                            </w:rPr>
                            <w:t>1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sz w:val="28"/>
                              <w:szCs w:val="28"/>
                              <w:u w:val="single" w:color="080000"/>
                              <w:color w:val="FFFFFF"/>
                              <w14:textOutline w14:w="3175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-4"/>
                              <w:position w:val="5"/>
                            </w:rPr>
                            <w:t>1</w:t>
                          </w:r>
                        </w:rubyBase>
                      </w:ruby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"/>
                        <w:position w:val="5"/>
                      </w:rPr>
                      <w:t>月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spacing w:val="1"/>
                        <w:position w:val="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position w:val="5"/>
                      </w:rPr>
                      <w:t>)</w:t>
                    </w:r>
                    <w:r>
                      <w:rPr>
                        <w:rFonts w:ascii="Microsoft YaHei" w:hAnsi="Microsoft YaHei" w:eastAsia="Microsoft YaHei" w:cs="Microsoft YaHei"/>
                        <w:sz w:val="27"/>
                        <w:szCs w:val="27"/>
                        <w:u w:val="single" w:color="080000"/>
                        <w:color w:val="FFFFFF"/>
                        <w:position w:val="5"/>
                      </w:rPr>
                      <w:t xml:space="preserve"> </w:t>
                    </w:r>
                  </w:p>
                </w:txbxContent>
              </v:textbox>
            </v:shape>
            <v:shape id="_x0000_s41" style="position:absolute;left:2706;top:19;width:597;height:4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0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FFFFFF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-2"/>
                      </w:rPr>
                      <w:t>冬季</w:t>
                    </w:r>
                  </w:p>
                </w:txbxContent>
              </v:textbox>
            </v:shape>
          </v:group>
        </w:pict>
      </w:r>
    </w:p>
    <w:p>
      <w:pPr>
        <w:ind w:left="9793"/>
        <w:spacing w:before="1" w:line="183" w:lineRule="auto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sz w:val="26"/>
          <w:szCs w:val="26"/>
          <w:spacing w:val="6"/>
        </w:rPr>
        <w:t>00:0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>0-01:00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 xml:space="preserve">             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>平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 xml:space="preserve">                  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>平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 xml:space="preserve">                  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>平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 xml:space="preserve">                  </w:t>
      </w:r>
      <w:r>
        <w:rPr>
          <w:rFonts w:ascii="Microsoft YaHei" w:hAnsi="Microsoft YaHei" w:eastAsia="Microsoft YaHei" w:cs="Microsoft YaHei"/>
          <w:sz w:val="26"/>
          <w:szCs w:val="26"/>
          <w:spacing w:val="3"/>
        </w:rPr>
        <w:t>平</w:t>
      </w:r>
    </w:p>
    <w:tbl>
      <w:tblPr>
        <w:tblStyle w:val="2"/>
        <w:tblW w:w="8947" w:type="dxa"/>
        <w:tblInd w:w="9481" w:type="dxa"/>
        <w:tblLayout w:type="fixed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</w:tblPr>
      <w:tblGrid>
        <w:gridCol w:w="693"/>
        <w:gridCol w:w="8254"/>
      </w:tblGrid>
      <w:tr>
        <w:trPr>
          <w:trHeight w:val="345" w:hRule="atLeast"/>
        </w:trPr>
        <w:tc>
          <w:tcPr>
            <w:tcW w:w="69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311"/>
              <w:spacing w:before="1" w:line="185" w:lineRule="auto"/>
              <w:rPr>
                <w:rFonts w:ascii="Microsoft YaHei" w:hAnsi="Microsoft YaHei" w:eastAsia="Microsoft YaHei" w:cs="Microsoft YaHei"/>
                <w:sz w:val="26"/>
                <w:szCs w:val="26"/>
              </w:rPr>
            </w:pP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6"/>
              </w:rPr>
              <w:t>0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>1:</w:t>
            </w:r>
          </w:p>
        </w:tc>
        <w:tc>
          <w:tcPr>
            <w:tcW w:w="825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3"/>
              <w:spacing w:before="1" w:line="185" w:lineRule="auto"/>
              <w:rPr>
                <w:rFonts w:ascii="Microsoft YaHei" w:hAnsi="Microsoft YaHei" w:eastAsia="Microsoft YaHei" w:cs="Microsoft YaHei"/>
                <w:sz w:val="26"/>
                <w:szCs w:val="26"/>
              </w:rPr>
            </w:pP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3"/>
              </w:rPr>
              <w:t>00-02:00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3"/>
              </w:rPr>
              <w:t xml:space="preserve">            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3"/>
              </w:rPr>
              <w:t>平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3"/>
              </w:rPr>
              <w:t xml:space="preserve">                 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3"/>
              </w:rPr>
              <w:t>平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3"/>
              </w:rPr>
              <w:t xml:space="preserve">                 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3"/>
              </w:rPr>
              <w:t>平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3"/>
              </w:rPr>
              <w:t xml:space="preserve">                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</w:rPr>
              <w:t>平</w:t>
            </w:r>
          </w:p>
        </w:tc>
      </w:tr>
      <w:tr>
        <w:trPr>
          <w:trHeight w:val="329" w:hRule="atLeast"/>
        </w:trPr>
        <w:tc>
          <w:tcPr>
            <w:tcW w:w="69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311"/>
              <w:spacing w:line="184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0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9"/>
              </w:rPr>
              <w:t>2:</w:t>
            </w:r>
          </w:p>
        </w:tc>
        <w:tc>
          <w:tcPr>
            <w:tcW w:w="825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3"/>
              <w:spacing w:line="184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pict>
                <v:shape id="_x0000_s42" style="position:absolute;margin-left:-36.15pt;margin-top:-85.7564pt;mso-position-vertical-relative:text;mso-position-horizontal-relative:text;width:450.4pt;height:456.15pt;z-index:25167462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8947" w:type="dxa"/>
                          <w:tblInd w:w="30" w:type="dxa"/>
                          <w:tblLayout w:type="fixed"/>
                          <w:tblBorders>
                            <w:top w:val="single" w:color="080000" w:sz="2" w:space="0"/>
                            <w:left w:val="single" w:color="080000" w:sz="2" w:space="0"/>
                            <w:bottom w:val="single" w:color="080000" w:sz="2" w:space="0"/>
                            <w:right w:val="single" w:color="080000" w:sz="2" w:space="0"/>
                            <w:insideH w:val="single" w:color="080000" w:sz="2" w:space="0"/>
                            <w:insideV w:val="single" w:color="080000" w:sz="2" w:space="0"/>
                          </w:tblBorders>
                        </w:tblPr>
                        <w:tblGrid>
                          <w:gridCol w:w="701"/>
                          <w:gridCol w:w="1470"/>
                          <w:gridCol w:w="1670"/>
                          <w:gridCol w:w="1654"/>
                          <w:gridCol w:w="1714"/>
                          <w:gridCol w:w="1738"/>
                        </w:tblGrid>
                        <w:tr>
                          <w:trPr>
                            <w:trHeight w:val="4029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  <w:top w:val="none" w:color="000000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  <w:top w:val="none" w:color="000000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  <w:top w:val="none" w:color="000000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ind w:left="689"/>
                                <w:spacing w:before="120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  <w:top w:val="none" w:color="000000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ind w:left="684"/>
                                <w:spacing w:before="120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  <w:top w:val="none" w:color="000000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ind w:left="718"/>
                                <w:spacing w:before="120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  <w:top w:val="none" w:color="000000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  <w:p>
                              <w:pPr>
                                <w:ind w:left="729"/>
                                <w:spacing w:before="120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01"/>
                                <w:spacing w:before="52" w:line="279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6"/>
                                  <w:position w:val="-2"/>
                                </w:rPr>
                                <w:t>09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before="51" w:line="280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6"/>
                                  <w:position w:val="-2"/>
                                </w:rPr>
                                <w:t>0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5"/>
                                  <w:position w:val="-2"/>
                                </w:rPr>
                                <w:t>0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3"/>
                                  <w:position w:val="-2"/>
                                </w:rPr>
                                <w:t>-10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3"/>
                                  <w:position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3"/>
                                  <w:position w:val="-2"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9"/>
                                <w:spacing w:before="47" w:line="284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4"/>
                                <w:spacing w:before="47" w:line="284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7" w:line="284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9"/>
                                <w:spacing w:before="47" w:line="284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0: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00-11:00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5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谷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0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谷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7" w:line="284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5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谷</w:t>
                              </w:r>
                            </w:p>
                          </w:tc>
                        </w:tr>
                        <w:tr>
                          <w:trPr>
                            <w:trHeight w:val="330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before="1" w:line="184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1: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before="1" w:line="184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00-12:00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5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谷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41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2"/>
                                  <w:position w:val="-1"/>
                                </w:rPr>
                                <w:t>深谷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7" w:line="28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86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2"/>
                                  <w:position w:val="-1"/>
                                </w:rPr>
                                <w:t>深谷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2: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00-13:00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46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2"/>
                                  <w:position w:val="-1"/>
                                </w:rPr>
                                <w:t>深谷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41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2"/>
                                  <w:position w:val="-1"/>
                                </w:rPr>
                                <w:t>深谷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8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86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2"/>
                                  <w:position w:val="-1"/>
                                </w:rPr>
                                <w:t>深谷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3: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00-14:00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46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2"/>
                                  <w:position w:val="-1"/>
                                </w:rPr>
                                <w:t>深谷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41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2"/>
                                  <w:position w:val="-1"/>
                                </w:rPr>
                                <w:t>深谷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8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86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2"/>
                                  <w:position w:val="-1"/>
                                </w:rPr>
                                <w:t>深谷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4: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00-15:00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5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谷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0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谷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8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5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谷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5: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00-16:00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5"/>
                                <w:spacing w:before="35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谷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4"/>
                                <w:spacing w:before="48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8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9"/>
                                <w:spacing w:before="48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6: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00-17:00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44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4"/>
                                <w:spacing w:before="48" w:line="283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5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36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7: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00-18:00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44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91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5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84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8: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00-19:00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44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39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73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84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1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7"/>
                                </w:rPr>
                                <w:t>1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5"/>
                                </w:rPr>
                                <w:t>9: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00-20:00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96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39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73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36"/>
                                <w:spacing w:before="34" w:line="297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0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9"/>
                                </w:rPr>
                                <w:t>20: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00-21:00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96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91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73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36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0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9"/>
                                </w:rPr>
                                <w:t>21: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00-22:00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96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91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峰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573"/>
                                <w:spacing w:before="34" w:line="296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spacing w:val="-1"/>
                                  <w:position w:val="-1"/>
                                </w:rPr>
                                <w:t>尖峰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9"/>
                                <w:spacing w:before="48" w:line="28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</w:tr>
                        <w:tr>
                          <w:trPr>
                            <w:trHeight w:val="331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03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9"/>
                                </w:rPr>
                                <w:t>22: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line="185" w:lineRule="auto"/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5"/>
                                  <w:szCs w:val="25"/>
                                  <w:spacing w:val="14"/>
                                </w:rPr>
                                <w:t>00-23:00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9"/>
                                <w:spacing w:before="48" w:line="28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4"/>
                                <w:spacing w:before="48" w:line="28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8" w:line="28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9"/>
                                <w:spacing w:before="48" w:line="28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  <w:position w:val="-1"/>
                                </w:rPr>
                                <w:t>平</w:t>
                              </w:r>
                            </w:p>
                          </w:tc>
                        </w:tr>
                        <w:tr>
                          <w:trPr>
                            <w:trHeight w:val="340" w:hRule="atLeast"/>
                          </w:trPr>
                          <w:tc>
                            <w:tcPr>
                              <w:tcW w:w="701" w:type="dxa"/>
                              <w:vAlign w:val="top"/>
                              <w:tcBorders>
                                <w:left w:val="single" w:color="080000" w:sz="8" w:space="0"/>
                                <w:right w:val="none" w:color="000000" w:sz="2" w:space="0"/>
                              </w:tcBorders>
                            </w:tcPr>
                            <w:p>
                              <w:pPr>
                                <w:ind w:left="303"/>
                                <w:spacing w:before="1" w:line="182" w:lineRule="auto"/>
                                <w:rPr>
                                  <w:rFonts w:ascii="Microsoft YaHei" w:hAnsi="Microsoft YaHei" w:eastAsia="Microsoft YaHei" w:cs="Microsoft YaHe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6"/>
                                  <w:szCs w:val="26"/>
                                  <w:spacing w:val="5"/>
                                </w:rPr>
                                <w:t>2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6"/>
                                  <w:szCs w:val="26"/>
                                  <w:spacing w:val="4"/>
                                </w:rPr>
                                <w:t>3:</w:t>
                              </w:r>
                            </w:p>
                          </w:tc>
                          <w:tc>
                            <w:tcPr>
                              <w:tcW w:w="1470" w:type="dxa"/>
                              <w:vAlign w:val="top"/>
                              <w:tcBorders>
                                <w:right w:val="single" w:color="080000" w:sz="8" w:space="0"/>
                                <w:left w:val="none" w:color="000000" w:sz="2" w:space="0"/>
                              </w:tcBorders>
                            </w:tcPr>
                            <w:p>
                              <w:pPr>
                                <w:ind w:left="5"/>
                                <w:spacing w:before="1" w:line="182" w:lineRule="auto"/>
                                <w:rPr>
                                  <w:rFonts w:ascii="Microsoft YaHei" w:hAnsi="Microsoft YaHei" w:eastAsia="Microsoft YaHei" w:cs="Microsoft YaHe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6"/>
                                  <w:szCs w:val="26"/>
                                  <w:spacing w:val="9"/>
                                </w:rPr>
                                <w:t>00-24:0</w:t>
                              </w:r>
                              <w:r>
                                <w:rPr>
                                  <w:rFonts w:ascii="Microsoft YaHei" w:hAnsi="Microsoft YaHei" w:eastAsia="Microsoft YaHei" w:cs="Microsoft YaHei"/>
                                  <w:sz w:val="26"/>
                                  <w:szCs w:val="26"/>
                                  <w:spacing w:val="7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670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9"/>
                                <w:spacing w:before="48" w:line="29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65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684"/>
                                <w:spacing w:before="48" w:line="29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14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18"/>
                                <w:spacing w:before="48" w:line="29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  <w:t>平</w:t>
                              </w:r>
                            </w:p>
                          </w:tc>
                          <w:tc>
                            <w:tcPr>
                              <w:tcW w:w="1738" w:type="dxa"/>
                              <w:vAlign w:val="top"/>
                              <w:tcBorders>
                                <w:left w:val="single" w:color="080000" w:sz="8" w:space="0"/>
                                <w:right w:val="single" w:color="080000" w:sz="8" w:space="0"/>
                              </w:tcBorders>
                            </w:tcPr>
                            <w:p>
                              <w:pPr>
                                <w:ind w:left="729"/>
                                <w:spacing w:before="48" w:line="292" w:lineRule="exact"/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YaHei" w:hAnsi="Microsoft YaHei" w:eastAsia="Microsoft YaHei" w:cs="Microsoft YaHei"/>
                                  <w:sz w:val="28"/>
                                  <w:szCs w:val="28"/>
                                </w:rPr>
                                <w:t>平</w:t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2"/>
              </w:rPr>
              <w:t>00-03: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7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谷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</w:p>
        </w:tc>
      </w:tr>
      <w:tr>
        <w:trPr>
          <w:trHeight w:val="329" w:hRule="atLeast"/>
        </w:trPr>
        <w:tc>
          <w:tcPr>
            <w:tcW w:w="69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311"/>
              <w:spacing w:line="184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0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9"/>
              </w:rPr>
              <w:t>3:</w:t>
            </w:r>
          </w:p>
        </w:tc>
        <w:tc>
          <w:tcPr>
            <w:tcW w:w="825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3"/>
              <w:spacing w:line="184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2"/>
              </w:rPr>
              <w:t>00-04: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7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谷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</w:p>
        </w:tc>
      </w:tr>
      <w:tr>
        <w:trPr>
          <w:trHeight w:val="328" w:hRule="atLeast"/>
        </w:trPr>
        <w:tc>
          <w:tcPr>
            <w:tcW w:w="69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311"/>
              <w:spacing w:line="183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0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9"/>
              </w:rPr>
              <w:t>4:</w:t>
            </w:r>
          </w:p>
        </w:tc>
        <w:tc>
          <w:tcPr>
            <w:tcW w:w="825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3"/>
              <w:spacing w:line="183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2"/>
              </w:rPr>
              <w:t>00-05: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7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谷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</w:p>
        </w:tc>
      </w:tr>
      <w:tr>
        <w:trPr>
          <w:trHeight w:val="328" w:hRule="atLeast"/>
        </w:trPr>
        <w:tc>
          <w:tcPr>
            <w:tcW w:w="69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311"/>
              <w:spacing w:line="183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0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9"/>
              </w:rPr>
              <w:t>5:</w:t>
            </w:r>
          </w:p>
        </w:tc>
        <w:tc>
          <w:tcPr>
            <w:tcW w:w="825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3"/>
              <w:spacing w:line="183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2"/>
              </w:rPr>
              <w:t>00-06: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7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谷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</w:p>
        </w:tc>
      </w:tr>
      <w:tr>
        <w:trPr>
          <w:trHeight w:val="328" w:hRule="atLeast"/>
        </w:trPr>
        <w:tc>
          <w:tcPr>
            <w:tcW w:w="69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311"/>
              <w:spacing w:line="183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0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9"/>
              </w:rPr>
              <w:t>6:</w:t>
            </w:r>
          </w:p>
        </w:tc>
        <w:tc>
          <w:tcPr>
            <w:tcW w:w="825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3"/>
              <w:spacing w:line="183" w:lineRule="auto"/>
              <w:rPr>
                <w:rFonts w:ascii="Microsoft YaHei" w:hAnsi="Microsoft YaHei" w:eastAsia="Microsoft YaHei" w:cs="Microsoft YaHei"/>
                <w:sz w:val="25"/>
                <w:szCs w:val="25"/>
              </w:rPr>
            </w:pP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12"/>
              </w:rPr>
              <w:t>00-07: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7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0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谷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5"/>
                <w:szCs w:val="25"/>
                <w:spacing w:val="6"/>
              </w:rPr>
              <w:t>平</w:t>
            </w:r>
          </w:p>
        </w:tc>
      </w:tr>
      <w:tr>
        <w:trPr>
          <w:trHeight w:val="338" w:hRule="atLeast"/>
        </w:trPr>
        <w:tc>
          <w:tcPr>
            <w:tcW w:w="69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311"/>
              <w:spacing w:before="1" w:line="181" w:lineRule="auto"/>
              <w:rPr>
                <w:rFonts w:ascii="Microsoft YaHei" w:hAnsi="Microsoft YaHei" w:eastAsia="Microsoft YaHei" w:cs="Microsoft YaHei"/>
                <w:sz w:val="26"/>
                <w:szCs w:val="26"/>
              </w:rPr>
            </w:pP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6"/>
              </w:rPr>
              <w:t>0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>7:</w:t>
            </w:r>
          </w:p>
        </w:tc>
        <w:tc>
          <w:tcPr>
            <w:tcW w:w="825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3"/>
              <w:spacing w:before="1" w:line="181" w:lineRule="auto"/>
              <w:rPr>
                <w:rFonts w:ascii="Microsoft YaHei" w:hAnsi="Microsoft YaHei" w:eastAsia="Microsoft YaHei" w:cs="Microsoft YaHei"/>
                <w:sz w:val="26"/>
                <w:szCs w:val="26"/>
              </w:rPr>
            </w:pP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>00-08:00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 xml:space="preserve">            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>平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 xml:space="preserve">                 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>平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 xml:space="preserve">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 xml:space="preserve">         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>谷</w:t>
            </w:r>
            <w:r>
              <w:rPr>
                <w:shd w:val="clear" w:fill="C7DAF1"/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  <w:spacing w:val="4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6"/>
                <w:szCs w:val="26"/>
              </w:rPr>
              <w:t>平</w:t>
            </w:r>
          </w:p>
        </w:tc>
      </w:tr>
    </w:tbl>
    <w:p>
      <w:pPr>
        <w:ind w:left="9793"/>
        <w:spacing w:before="44" w:line="17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114650</wp:posOffset>
            </wp:positionV>
            <wp:extent cx="12192000" cy="3334511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333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spacing w:val="-1"/>
        </w:rPr>
        <w:t>08</w:t>
      </w:r>
      <w:r>
        <w:rPr>
          <w:rFonts w:ascii="Microsoft YaHei" w:hAnsi="Microsoft YaHei" w:eastAsia="Microsoft YaHei" w:cs="Microsoft YaHei"/>
          <w:sz w:val="28"/>
          <w:szCs w:val="28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spacing w:val="-1"/>
        </w:rPr>
        <w:t>00</w:t>
      </w:r>
      <w:r>
        <w:rPr>
          <w:rFonts w:ascii="Microsoft YaHei" w:hAnsi="Microsoft YaHei" w:eastAsia="Microsoft YaHei" w:cs="Microsoft YaHei"/>
          <w:sz w:val="28"/>
          <w:szCs w:val="28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spacing w:val="-1"/>
        </w:rPr>
        <w:t>0</w:t>
      </w:r>
      <w:r>
        <w:rPr>
          <w:rFonts w:ascii="Microsoft YaHei" w:hAnsi="Microsoft YaHei" w:eastAsia="Microsoft YaHei" w:cs="Microsoft YaHei"/>
          <w:sz w:val="28"/>
          <w:szCs w:val="28"/>
        </w:rPr>
        <w:t>9</w:t>
      </w:r>
      <w:r>
        <w:rPr>
          <w:rFonts w:ascii="Microsoft YaHei" w:hAnsi="Microsoft YaHei" w:eastAsia="Microsoft YaHei" w:cs="Microsoft YaHei"/>
          <w:sz w:val="28"/>
          <w:szCs w:val="28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</w:rPr>
        <w:t>00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510"/>
        <w:spacing w:before="151" w:line="204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color w:val="FF0000"/>
          <w:spacing w:val="-1"/>
        </w:rPr>
        <w:t>u</w:t>
      </w:r>
      <w:r>
        <w:rPr>
          <w:rFonts w:ascii="Wingdings" w:hAnsi="Wingdings" w:eastAsia="Wingdings" w:cs="Wingdings"/>
          <w:sz w:val="35"/>
          <w:szCs w:val="35"/>
          <w:color w:val="FF0000"/>
          <w:spacing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2"/>
        </w:rPr>
        <w:t>分时时段</w:t>
      </w:r>
      <w:r>
        <w:rPr>
          <w:rFonts w:ascii="Microsoft YaHei" w:hAnsi="Microsoft YaHei" w:eastAsia="Microsoft YaHei" w:cs="Microsoft YaHei"/>
          <w:sz w:val="35"/>
          <w:szCs w:val="35"/>
          <w:spacing w:val="-2"/>
        </w:rPr>
        <w:t>执行时间</w:t>
      </w:r>
      <w:r>
        <w:rPr>
          <w:rFonts w:ascii="Microsoft YaHei" w:hAnsi="Microsoft YaHei" w:eastAsia="Microsoft YaHei" w:cs="Microsoft YaHei"/>
          <w:sz w:val="35"/>
          <w:szCs w:val="35"/>
          <w:spacing w:val="-1"/>
        </w:rPr>
        <w:t>为2023年1-12月</w:t>
      </w:r>
      <w:r>
        <w:rPr>
          <w:rFonts w:ascii="Microsoft YaHei" w:hAnsi="Microsoft YaHei" w:eastAsia="Microsoft YaHei" w:cs="Microsoft YaHei"/>
          <w:sz w:val="35"/>
          <w:szCs w:val="35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1"/>
        </w:rPr>
        <w:t>。</w:t>
      </w:r>
    </w:p>
    <w:p>
      <w:pPr>
        <w:ind w:left="1510"/>
        <w:spacing w:before="137" w:line="204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color w:val="FF0000"/>
          <w:spacing w:val="-8"/>
        </w:rPr>
        <w:t>u</w:t>
      </w:r>
      <w:r>
        <w:rPr>
          <w:rFonts w:ascii="Wingdings" w:hAnsi="Wingdings" w:eastAsia="Wingdings" w:cs="Wingdings"/>
          <w:sz w:val="35"/>
          <w:szCs w:val="35"/>
          <w:color w:val="FF000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-8"/>
        </w:rPr>
        <w:t>右图适用于高压客户。</w:t>
      </w:r>
    </w:p>
    <w:p>
      <w:pPr>
        <w:sectPr>
          <w:pgSz w:w="19200" w:h="10800"/>
          <w:pgMar w:top="1" w:right="0" w:bottom="0" w:left="0" w:header="0" w:footer="0" w:gutter="0"/>
        </w:sectPr>
        <w:rPr/>
      </w:pPr>
    </w:p>
    <w:p>
      <w:pPr>
        <w:rPr/>
      </w:pPr>
      <w:r>
        <w:pict>
          <v:shape id="_x0000_s43" style="position:absolute;margin-left:66.84pt;margin-top:91.2pt;mso-position-vertical-relative:page;mso-position-horizontal-relative:page;width:279.5pt;height:45.5pt;z-index:251682816;" o:allowincell="f" fillcolor="#00969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38"/>
                    <w:spacing w:before="143" w:line="185" w:lineRule="auto"/>
                    <w:rPr>
                      <w:rFonts w:ascii="Microsoft YaHei" w:hAnsi="Microsoft YaHei" w:eastAsia="Microsoft YaHei" w:cs="Microsoft YaHei"/>
                      <w:sz w:val="47"/>
                      <w:szCs w:val="47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7"/>
                      <w:szCs w:val="47"/>
                      <w:color w:val="FFFFFF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9"/>
                    </w:rPr>
                    <w:t>工</w:t>
                  </w:r>
                  <w:r>
                    <w:rPr>
                      <w:rFonts w:ascii="Microsoft YaHei" w:hAnsi="Microsoft YaHei" w:eastAsia="Microsoft YaHei" w:cs="Microsoft YaHei"/>
                      <w:sz w:val="47"/>
                      <w:szCs w:val="47"/>
                      <w:color w:val="FFFFFF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8"/>
                    </w:rPr>
                    <w:t>商业分时电价</w:t>
                  </w:r>
                </w:p>
              </w:txbxContent>
            </v:textbox>
          </v:shape>
        </w:pict>
      </w:r>
      <w:r>
        <w:pict>
          <v:shape id="_x0000_s44" style="position:absolute;margin-left:73.1003pt;margin-top:158.528pt;mso-position-vertical-relative:page;mso-position-horizontal-relative:page;width:365.25pt;height:319.95pt;z-index:251681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50"/>
                    <w:spacing w:before="24" w:line="202" w:lineRule="auto"/>
                    <w:shd w:val="clear" w:fill="E5F7F9"/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color w:val="FF0000"/>
                      <w:spacing w:val="3"/>
                    </w:rPr>
                    <w:t>低压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color w:val="FF0000"/>
                      <w:spacing w:val="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color w:val="FF0000"/>
                      <w:spacing w:val="3"/>
                    </w:rPr>
                    <w:t>(不满1千伏)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color w:val="FF0000"/>
                      <w:spacing w:val="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color w:val="FF0000"/>
                      <w:spacing w:val="3"/>
                    </w:rPr>
                    <w:t>工商业用户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3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3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1"/>
                    </w:rPr>
                    <w:t>目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1"/>
                    </w:rPr>
                    <w:t>前计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>量装置暂时不具备现货分时计量条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1"/>
                    </w:rPr>
                    <w:t>件，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>无法对表计时段实施动态调整。故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1"/>
                    </w:rPr>
                    <w:t>政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>策规定，不满1千伏代理购电用户计量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1"/>
                    </w:rPr>
                    <w:t>装置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>具备动态调整条件前，其容量补偿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1"/>
                    </w:rPr>
                    <w:t>电价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>、代理购电价格峰谷时段暂保持稳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2"/>
                    </w:rPr>
                    <w:t>定，暂不执行尖峰、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1"/>
                    </w:rPr>
                    <w:t>深谷电价政策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1"/>
                    </w:rPr>
                    <w:t>(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1"/>
                    </w:rPr>
                    <w:t>即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18"/>
                    </w:rPr>
                    <w:t>各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9"/>
                    </w:rPr>
                    <w:t>季节只执行峰、平、谷三个时段)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9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9"/>
                    </w:rPr>
                    <w:t>。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1"/>
                    </w:rPr>
                    <w:t>计量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>装置具备条件后，再执行鲁发改价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8"/>
                    </w:rPr>
                    <w:t>格〔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4"/>
                    </w:rPr>
                    <w:t>2022〕997号文件规定的时段划分，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  <w:spacing w:val="-1"/>
                    </w:rPr>
                    <w:t>届时</w:t>
                  </w:r>
                  <w:r>
                    <w:rPr>
                      <w:rFonts w:ascii="Microsoft YaHei" w:hAnsi="Microsoft YaHei" w:eastAsia="Microsoft YaHei" w:cs="Microsoft YaHei"/>
                      <w:sz w:val="40"/>
                      <w:szCs w:val="40"/>
                    </w:rPr>
                    <w:t>另行公告。</w:t>
                  </w:r>
                </w:p>
              </w:txbxContent>
            </v:textbox>
          </v:shape>
        </w:pict>
      </w:r>
      <w:r/>
    </w:p>
    <w:p>
      <w:pPr>
        <w:rPr/>
      </w:pPr>
      <w:r/>
    </w:p>
    <w:p>
      <w:pPr>
        <w:spacing w:line="229" w:lineRule="exact"/>
        <w:rPr/>
      </w:pPr>
      <w:r/>
    </w:p>
    <w:tbl>
      <w:tblPr>
        <w:tblStyle w:val="2"/>
        <w:tblW w:w="7913" w:type="dxa"/>
        <w:tblInd w:w="10608" w:type="dxa"/>
        <w:tblLayout w:type="fixed"/>
        <w:tblBorders>
          <w:top w:val="single" w:color="080000" w:sz="8" w:space="0"/>
          <w:left w:val="single" w:color="080000" w:sz="8" w:space="0"/>
          <w:bottom w:val="single" w:color="080000" w:sz="8" w:space="0"/>
          <w:right w:val="single" w:color="080000" w:sz="8" w:space="0"/>
          <w:insideH w:val="single" w:color="080000" w:sz="8" w:space="0"/>
          <w:insideV w:val="single" w:color="080000" w:sz="8" w:space="0"/>
        </w:tblBorders>
      </w:tblPr>
      <w:tblGrid>
        <w:gridCol w:w="1768"/>
        <w:gridCol w:w="1534"/>
        <w:gridCol w:w="1534"/>
        <w:gridCol w:w="1534"/>
        <w:gridCol w:w="1543"/>
      </w:tblGrid>
      <w:tr>
        <w:trPr>
          <w:trHeight w:val="836" w:hRule="atLeast"/>
        </w:trPr>
        <w:tc>
          <w:tcPr>
            <w:shd w:val="clear" w:fill="009696"/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45"/>
              <w:spacing w:before="311" w:line="187" w:lineRule="auto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r>
              <w:pict>
                <v:group id="_x0000_s45" style="position:absolute;margin-left:-530.922pt;margin-top:-55.8185pt;mso-position-vertical-relative:text;mso-position-horizontal-relative:text;width:960pt;height:76pt;z-index:-251637760;" filled="false" stroked="false" coordsize="19200,1520" coordorigin="0,0">
                  <v:group id="_x0000_s46" style="position:absolute;left:0;top:0;width:19200;height:1520;" filled="false" stroked="false" coordsize="19200,1520" coordorigin="0,0">
                    <v:shape id="_x0000_s47" style="position:absolute;left:0;top:0;width:19200;height:1380;" fillcolor="#00B0F0" filled="true" stroked="false" coordsize="19200,1380" coordorigin="0,0" path="m,l19200,0l19200,1380l0,1380l0,0xe"/>
                    <v:shape id="_x0000_s48" style="position:absolute;left:0;top:1369;width:11815;height:150;" fillcolor="#E5AA57" filled="true" stroked="false" coordsize="11815,150" coordorigin="0,0" path="m,l11747,10l11815,150l0,150l0,0e"/>
                  </v:group>
                  <v:shape id="_x0000_s49" style="position:absolute;left:-20;top:-20;width:19240;height:1740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ind w:left="2723"/>
                            <w:spacing w:before="402" w:line="233" w:lineRule="auto"/>
                            <w:rPr>
                              <w:rFonts w:ascii="Microsoft YaHei" w:hAnsi="Microsoft YaHei" w:eastAsia="Microsoft YaHei" w:cs="Microsoft YaHei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55"/>
                              <w:szCs w:val="55"/>
                              <w:color w:val="FFFFFF"/>
                              <w14:textOutline w14:w="6350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26"/>
                            </w:rPr>
                            <w:t>第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sz w:val="55"/>
                              <w:szCs w:val="55"/>
                              <w:color w:val="FFFFFF"/>
                              <w14:textOutline w14:w="6350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24"/>
                            </w:rPr>
                            <w:t>一部分：电力价格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3"/>
              </w:rPr>
              <w:t>时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2"/>
              </w:rPr>
              <w:t>段</w:t>
            </w:r>
          </w:p>
        </w:tc>
        <w:tc>
          <w:tcPr>
            <w:shd w:val="clear" w:fill="009696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firstLine="545"/>
              <w:spacing w:before="166" w:line="205" w:lineRule="auto"/>
              <w:tabs>
                <w:tab w:val="left" w:leader="empty" w:pos="103"/>
              </w:tabs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pict>
                <v:rect id="_x0000_s50" style="position:absolute;margin-left:-27.572pt;margin-top:12.6154pt;mso-position-vertical-relative:text;mso-position-horizontal-relative:text;width:368.25pt;height:7.5pt;z-index:-251636736;" fillcolor="#00B0F0" filled="true" stroked="false"/>
              </w:pict>
            </w:r>
            <w:r>
              <w:pict>
                <v:group id="_x0000_s51" style="position:absolute;margin-left:-86.622pt;margin-top:-42.9666pt;mso-position-vertical-relative:text;mso-position-horizontal-relative:text;width:389.15pt;height:58.95pt;z-index:-251635712;" filled="false" stroked="false" coordsize="7782,1179" coordorigin="0,0">
                  <v:shape id="_x0000_s52" style="position:absolute;left:0;top:0;width:7782;height:1179;" filled="false" stroked="false" type="#_x0000_t75">
                    <v:imagedata r:id="rId11"/>
                  </v:shape>
                  <v:shape id="_x0000_s53" style="position:absolute;left:-20;top:-20;width:7822;height:1368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ind w:left="910"/>
                            <w:spacing w:before="262" w:line="186" w:lineRule="auto"/>
                            <w:rPr>
                              <w:rFonts w:ascii="Microsoft YaHei" w:hAnsi="Microsoft YaHei" w:eastAsia="Microsoft YaHei" w:cs="Microsoft YaHei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47"/>
                              <w:szCs w:val="47"/>
                              <w:color w:val="FFFFFF"/>
                              <w14:textOutline w14:w="6350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53"/>
                            </w:rPr>
                            <w:t>第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sz w:val="47"/>
                              <w:szCs w:val="47"/>
                              <w:color w:val="FFFFFF"/>
                              <w14:textOutline w14:w="6350" w14:cap="flat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:spacing w:val="49"/>
                            </w:rPr>
                            <w:t>三周期输配电价政策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3"/>
              </w:rPr>
              <w:t>冬季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</w:rPr>
              <w:t xml:space="preserve">        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b/>
                <w:bCs/>
                <w:color w:val="FFFFFF"/>
              </w:rPr>
              <w:tab/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-12"/>
              </w:rPr>
              <w:t>(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  <w:spacing w:val="-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-6"/>
              </w:rPr>
              <w:t>12月、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  <w:spacing w:val="-6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-6"/>
              </w:rPr>
              <w:t>1月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  <w:spacing w:val="-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-6"/>
              </w:rPr>
              <w:t>)</w:t>
            </w:r>
          </w:p>
        </w:tc>
        <w:tc>
          <w:tcPr>
            <w:shd w:val="clear" w:fill="009696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73" w:right="174" w:firstLine="346"/>
              <w:spacing w:before="164" w:line="189" w:lineRule="auto"/>
              <w:tabs>
                <w:tab w:val="left" w:leader="empty" w:pos="287"/>
              </w:tabs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8"/>
              </w:rPr>
              <w:t>春季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</w:rPr>
              <w:t xml:space="preserve">    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b/>
                <w:bCs/>
                <w:color w:val="FFFFFF"/>
              </w:rPr>
              <w:tab/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6"/>
              </w:rPr>
              <w:t>(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:spacing w:val="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6"/>
              </w:rPr>
              <w:t>2-5月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:spacing w:val="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5"/>
              </w:rPr>
              <w:t>)</w:t>
            </w:r>
          </w:p>
        </w:tc>
        <w:tc>
          <w:tcPr>
            <w:shd w:val="clear" w:fill="009696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77" w:right="170" w:firstLine="348"/>
              <w:spacing w:before="171" w:line="187" w:lineRule="auto"/>
              <w:tabs>
                <w:tab w:val="left" w:leader="empty" w:pos="292"/>
              </w:tabs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8"/>
              </w:rPr>
              <w:t>夏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7"/>
              </w:rPr>
              <w:t>季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</w:rPr>
              <w:t xml:space="preserve">    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b/>
                <w:bCs/>
                <w:color w:val="FFFFFF"/>
              </w:rPr>
              <w:tab/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6"/>
              </w:rPr>
              <w:t>(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:spacing w:val="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6"/>
              </w:rPr>
              <w:t>6-8月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:spacing w:val="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5"/>
              </w:rPr>
              <w:t>)</w:t>
            </w:r>
          </w:p>
        </w:tc>
        <w:tc>
          <w:tcPr>
            <w:shd w:val="clear" w:fill="009696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07" w:right="101" w:firstLine="420"/>
              <w:spacing w:before="165" w:line="189" w:lineRule="auto"/>
              <w:tabs>
                <w:tab w:val="left" w:leader="empty" w:pos="222"/>
              </w:tabs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8"/>
              </w:rPr>
              <w:t>秋季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</w:rPr>
              <w:t xml:space="preserve">     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b/>
                <w:bCs/>
                <w:color w:val="FFFFFF"/>
              </w:rPr>
              <w:tab/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12"/>
              </w:rPr>
              <w:t>(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:spacing w:val="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6"/>
              </w:rPr>
              <w:t>9-11月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:spacing w:val="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3"/>
                <w:szCs w:val="23"/>
                <w:color w:val="FFFFFF"/>
                <w14:textOutline w14:w="3175" w14:cap="flat" w14:cmpd="sng">
                  <w14:solidFill>
                    <w14:srgbClr w14:val="FFFFFF"/>
                  </w14:solidFill>
                  <w14:prstDash w14:val="solid"/>
                  <w14:miter w14:lim="0"/>
                </w14:textOutline>
                <w:spacing w:val="6"/>
              </w:rPr>
              <w:t>)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00:00-01:0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01:00-02:0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02:00-03:0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6" w:line="157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</w:tr>
      <w:tr>
        <w:trPr>
          <w:trHeight w:val="360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6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03:00-04:0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47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47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47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7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04:00-05:0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05:00-06:0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06:00-07:0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谷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07:00-08:0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61" w:line="299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61" w:line="299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8"/>
              <w:spacing w:before="61" w:line="299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61" w:line="299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</w:tr>
      <w:tr>
        <w:trPr>
          <w:trHeight w:val="360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6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08:00-09:0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61" w:line="298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61" w:line="298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8"/>
              <w:spacing w:before="61" w:line="298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61" w:line="298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99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drawing>
                <wp:anchor distT="0" distB="0" distL="0" distR="0" simplePos="0" relativeHeight="251677696" behindDoc="1" locked="0" layoutInCell="1" allowOverlap="1">
                  <wp:simplePos x="0" y="0"/>
                  <wp:positionH relativeFrom="column">
                    <wp:posOffset>-6742708</wp:posOffset>
                  </wp:positionH>
                  <wp:positionV relativeFrom="paragraph">
                    <wp:posOffset>189767</wp:posOffset>
                  </wp:positionV>
                  <wp:extent cx="12192000" cy="3334511"/>
                  <wp:effectExtent l="0" t="0" r="0" b="0"/>
                  <wp:wrapNone/>
                  <wp:docPr id="13" name="IM 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" name="IM 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09:00-10:0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1"/>
              </w:rPr>
              <w:t>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8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10: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0-11:00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8" w:line="313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8" w:line="313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8" w:line="313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8" w:line="313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11: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0-12:00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62" w:line="299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62" w:line="299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8"/>
              <w:spacing w:before="62" w:line="299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62" w:line="299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</w:tr>
      <w:tr>
        <w:trPr>
          <w:trHeight w:val="360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6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12: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0-13:00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谷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13: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0-14:00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16"/>
              <w:spacing w:before="50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50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谷</w:t>
            </w:r>
          </w:p>
        </w:tc>
        <w:tc>
          <w:tcPr>
            <w:shd w:val="clear" w:fill="C7DAF1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50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谷</w:t>
            </w:r>
          </w:p>
        </w:tc>
        <w:tc>
          <w:tcPr>
            <w:shd w:val="clear" w:fill="C7DAF1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50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谷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14: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0-15:00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63" w:line="298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63" w:line="298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8"/>
              <w:spacing w:before="63" w:line="298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63" w:line="298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15: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0-16:00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16: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0-17:00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17: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0-18:00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18: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0-19:00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1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4"/>
              </w:rPr>
              <w:t>19: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2"/>
              </w:rPr>
              <w:t>0-20:00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9" w:line="312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0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6"/>
              </w:rPr>
              <w:t>20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:00-21:00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0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6"/>
              </w:rPr>
              <w:t>21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:00-22:00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7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5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  <w:tc>
          <w:tcPr>
            <w:shd w:val="clear" w:fill="FDEADA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8"/>
              <w:spacing w:before="49" w:line="311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position w:val="-1"/>
              </w:rPr>
              <w:t>峰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01"/>
              <w:spacing w:line="187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6"/>
              </w:rPr>
              <w:t>22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:00-23:00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63" w:line="29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63" w:line="29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8"/>
              <w:spacing w:before="63" w:line="29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63" w:line="29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</w:tr>
      <w:tr>
        <w:trPr>
          <w:trHeight w:val="370" w:hRule="atLeast"/>
        </w:trPr>
        <w:tc>
          <w:tcPr>
            <w:shd w:val="clear" w:fill="FFFFFF"/>
            <w:tcW w:w="1768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101"/>
              <w:spacing w:before="1" w:line="191" w:lineRule="auto"/>
              <w:rPr>
                <w:rFonts w:ascii="Microsoft YaHei" w:hAnsi="Microsoft YaHei" w:eastAsia="Microsoft YaHei" w:cs="Microsoft YaHei"/>
                <w:sz w:val="27"/>
                <w:szCs w:val="27"/>
              </w:rPr>
            </w:pP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6"/>
              </w:rPr>
              <w:t>23</w:t>
            </w:r>
            <w:r>
              <w:rPr>
                <w:rFonts w:ascii="Microsoft YaHei" w:hAnsi="Microsoft YaHei" w:eastAsia="Microsoft YaHei" w:cs="Microsoft YaHei"/>
                <w:sz w:val="27"/>
                <w:szCs w:val="27"/>
                <w:spacing w:val="3"/>
              </w:rPr>
              <w:t>:00-24:00</w:t>
            </w:r>
          </w:p>
        </w:tc>
        <w:tc>
          <w:tcPr>
            <w:shd w:val="clear" w:fill="FFFFFF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0"/>
              <w:spacing w:before="63" w:line="30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shd w:val="clear" w:fill="FFFFFF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4"/>
              <w:spacing w:before="63" w:line="30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shd w:val="clear" w:fill="FFFFFF"/>
            <w:tcW w:w="1534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28"/>
              <w:spacing w:before="63" w:line="30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  <w:tc>
          <w:tcPr>
            <w:shd w:val="clear" w:fill="FFFFFF"/>
            <w:tcW w:w="1543" w:type="dxa"/>
            <w:vAlign w:val="top"/>
            <w:tcBorders>
              <w:bottom w:val="single" w:color="080000" w:sz="2" w:space="0"/>
              <w:top w:val="single" w:color="080000" w:sz="2" w:space="0"/>
            </w:tcBorders>
          </w:tcPr>
          <w:p>
            <w:pPr>
              <w:ind w:left="631"/>
              <w:spacing w:before="63" w:line="30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</w:rPr>
              <w:t>平</w:t>
            </w:r>
          </w:p>
        </w:tc>
      </w:tr>
    </w:tbl>
    <w:p>
      <w:pPr>
        <w:spacing w:line="50" w:lineRule="exact"/>
        <w:rPr>
          <w:rFonts w:ascii="Arial"/>
          <w:sz w:val="4"/>
        </w:rPr>
      </w:pPr>
      <w:r/>
    </w:p>
    <w:p>
      <w:pPr>
        <w:sectPr>
          <w:footerReference w:type="default" r:id="rId16"/>
          <w:pgSz w:w="19200" w:h="10800"/>
          <w:pgMar w:top="400" w:right="0" w:bottom="1" w:left="0" w:header="0" w:footer="0" w:gutter="0"/>
        </w:sectPr>
        <w:rPr/>
      </w:pPr>
    </w:p>
    <w:p>
      <w:pPr>
        <w:ind w:left="2703"/>
        <w:spacing w:line="233" w:lineRule="auto"/>
        <w:rPr>
          <w:rFonts w:ascii="Microsoft YaHei" w:hAnsi="Microsoft YaHei" w:eastAsia="Microsoft YaHei" w:cs="Microsoft YaHei"/>
          <w:sz w:val="55"/>
          <w:szCs w:val="55"/>
        </w:rPr>
      </w:pPr>
      <w:r>
        <w:pict>
          <v:shape id="_x0000_s54" style="position:absolute;margin-left:604.82pt;margin-top:5.04742pt;mso-position-vertical-relative:text;mso-position-horizontal-relative:text;width:261.25pt;height:33.05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8" w:line="185" w:lineRule="auto"/>
                    <w:rPr>
                      <w:rFonts w:ascii="Microsoft YaHei" w:hAnsi="Microsoft YaHei" w:eastAsia="Microsoft YaHei" w:cs="Microsoft YaHei"/>
                      <w:sz w:val="47"/>
                      <w:szCs w:val="47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7"/>
                      <w:szCs w:val="47"/>
                      <w:color w:val="FFFFFF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52"/>
                    </w:rPr>
                    <w:t>工</w:t>
                  </w:r>
                  <w:r>
                    <w:rPr>
                      <w:rFonts w:ascii="Microsoft YaHei" w:hAnsi="Microsoft YaHei" w:eastAsia="Microsoft YaHei" w:cs="Microsoft YaHei"/>
                      <w:sz w:val="47"/>
                      <w:szCs w:val="47"/>
                      <w:color w:val="FFFFFF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48"/>
                    </w:rPr>
                    <w:t>商业非电网直供电价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-242247</wp:posOffset>
            </wp:positionV>
            <wp:extent cx="12192000" cy="964971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96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6886702</wp:posOffset>
            </wp:positionH>
            <wp:positionV relativeFrom="page">
              <wp:posOffset>917626</wp:posOffset>
            </wp:positionV>
            <wp:extent cx="4359833" cy="5639358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9833" cy="563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55"/>
          <w:szCs w:val="55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6"/>
        </w:rPr>
        <w:t>第</w:t>
      </w:r>
      <w:r>
        <w:rPr>
          <w:rFonts w:ascii="Microsoft YaHei" w:hAnsi="Microsoft YaHei" w:eastAsia="Microsoft YaHei" w:cs="Microsoft YaHei"/>
          <w:sz w:val="55"/>
          <w:szCs w:val="55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4"/>
        </w:rPr>
        <w:t>一部分：电力价格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5" w:lineRule="exact"/>
        <w:rPr/>
      </w:pPr>
      <w:r/>
    </w:p>
    <w:tbl>
      <w:tblPr>
        <w:tblStyle w:val="2"/>
        <w:tblW w:w="8678" w:type="dxa"/>
        <w:tblInd w:w="1122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8678"/>
      </w:tblGrid>
      <w:tr>
        <w:trPr>
          <w:trHeight w:val="6410" w:hRule="atLeast"/>
        </w:trPr>
        <w:tc>
          <w:tcPr>
            <w:tcW w:w="867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381"/>
              <w:spacing w:before="151" w:line="227" w:lineRule="auto"/>
              <w:rPr>
                <w:rFonts w:ascii="Microsoft YaHei" w:hAnsi="Microsoft YaHei" w:eastAsia="Microsoft YaHei" w:cs="Microsoft YaHei"/>
                <w:sz w:val="35"/>
                <w:szCs w:val="35"/>
              </w:rPr>
            </w:pP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6"/>
              </w:rPr>
              <w:t>1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9"/>
              </w:rPr>
              <w:t>.文件名称：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9"/>
              </w:rPr>
              <w:t>《山东省发展和改革委员会关于工商</w:t>
            </w:r>
          </w:p>
          <w:p>
            <w:pPr>
              <w:ind w:left="370" w:right="1106" w:hanging="13"/>
              <w:spacing w:before="5" w:line="453" w:lineRule="auto"/>
              <w:rPr>
                <w:rFonts w:ascii="Microsoft YaHei" w:hAnsi="Microsoft YaHei" w:eastAsia="Microsoft YaHei" w:cs="Microsoft YaHei"/>
                <w:sz w:val="35"/>
                <w:szCs w:val="35"/>
              </w:rPr>
            </w:pPr>
            <w:r>
              <w:drawing>
                <wp:anchor distT="0" distB="0" distL="0" distR="0" simplePos="0" relativeHeight="251687936" behindDoc="1" locked="0" layoutInCell="1" allowOverlap="1">
                  <wp:simplePos x="0" y="0"/>
                  <wp:positionH relativeFrom="column">
                    <wp:posOffset>-719454</wp:posOffset>
                  </wp:positionH>
                  <wp:positionV relativeFrom="paragraph">
                    <wp:posOffset>1345829</wp:posOffset>
                  </wp:positionV>
                  <wp:extent cx="12192000" cy="3334511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18"/>
              </w:rPr>
              <w:t>业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13"/>
              </w:rPr>
              <w:t>非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9"/>
              </w:rPr>
              <w:t>电网直供环节电价政策有关事项的通知》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9"/>
              </w:rPr>
              <w:t>2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-7"/>
              </w:rPr>
              <w:t>.文号：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7"/>
              </w:rPr>
              <w:t>鲁发价格〔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7"/>
              </w:rPr>
              <w:t>2022〕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7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-7"/>
              </w:rPr>
              <w:t>248号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</w:rPr>
              <w:t xml:space="preserve">                 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22"/>
              </w:rPr>
              <w:t>3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5"/>
              </w:rPr>
              <w:t>.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1"/>
              </w:rPr>
              <w:t>执行时间：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11"/>
              </w:rPr>
              <w:t>自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1"/>
              </w:rPr>
              <w:t>2022年5月1日</w:t>
            </w:r>
            <w:r>
              <w:rPr>
                <w:rFonts w:ascii="Microsoft YaHei" w:hAnsi="Microsoft YaHei" w:eastAsia="Microsoft YaHei" w:cs="Microsoft YaHei"/>
                <w:sz w:val="35"/>
                <w:szCs w:val="35"/>
                <w:spacing w:val="11"/>
              </w:rPr>
              <w:t>起执行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382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group id="_x0000_s55" style="mso-position-vertical-relative:line;mso-position-horizontal-relative:char;width:960pt;height:76pt;" filled="false" stroked="false" coordsize="19200,1520" coordorigin="0,0">
            <v:group id="_x0000_s56" style="position:absolute;left:0;top:0;width:19200;height:1520;" filled="false" stroked="false" coordsize="19200,1520" coordorigin="0,0">
              <v:shape id="_x0000_s57" style="position:absolute;left:0;top:0;width:19200;height:1380;" fillcolor="#00B0F0" filled="true" stroked="false" coordsize="19200,1380" coordorigin="0,0" path="m,l19200,0l19200,1380l0,1380l0,0xe"/>
              <v:shape id="_x0000_s58" style="position:absolute;left:0;top:1369;width:11815;height:150;" fillcolor="#E5AA57" filled="true" stroked="false" coordsize="11815,150" coordorigin="0,0" path="m,l11747,10l11815,150l0,150l0,0e"/>
              <v:shape id="_x0000_s59" style="position:absolute;left:11835;top:1369;width:7365;height:150;" fillcolor="#00B0F0" filled="true" stroked="false" coordsize="7365,150" coordorigin="0,0" path="m,l7365,0l7365,150l90,150l0,0e"/>
            </v:group>
            <v:shape id="_x0000_s60" style="position:absolute;left:10654;top:257;width:7782;height:1179;" filled="false" stroked="false" type="#_x0000_t75">
              <v:imagedata r:id="rId11"/>
            </v:shape>
            <v:shape id="_x0000_s61" style="position:absolute;left:2683;top:362;width:5209;height:95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4"/>
                      </w:rPr>
                      <w:t>一部分：电力价格</w:t>
                    </w:r>
                  </w:p>
                </w:txbxContent>
              </v:textbox>
            </v:shape>
            <v:shape id="_x0000_s62" style="position:absolute;left:11534;top:482;width:5225;height:6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2"/>
                      </w:rPr>
                      <w:t>工</w:t>
                    </w: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48"/>
                      </w:rPr>
                      <w:t>商业非电网直供电价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6" w:lineRule="exact"/>
        <w:rPr/>
      </w:pPr>
      <w:r/>
    </w:p>
    <w:tbl>
      <w:tblPr>
        <w:tblStyle w:val="2"/>
        <w:tblW w:w="17967" w:type="dxa"/>
        <w:tblInd w:w="81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7967"/>
      </w:tblGrid>
      <w:tr>
        <w:trPr>
          <w:trHeight w:val="6385" w:hRule="atLeast"/>
        </w:trPr>
        <w:tc>
          <w:tcPr>
            <w:tcW w:w="17967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ind w:left="1186"/>
              <w:spacing w:before="171" w:line="184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1.非电网供电主体除损耗费用外，不得随电费向终端用户加收其他任何费用。</w:t>
            </w:r>
          </w:p>
          <w:p>
            <w:pPr>
              <w:ind w:left="358" w:right="343" w:firstLine="813"/>
              <w:spacing w:before="7" w:line="209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2.终端用户当月到户电价=非电网供电主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体当月结算平均电价/(1-损耗率)。损耗率最高不得超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过12%。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非电网供电主体实际损耗率高于12%的，应通过加强管理、改造供用电设施设备等方式予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以降低。“非电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网供电主体当月结算平均电价”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是指:非电网供电主体电费结算发票中的含税单价</w:t>
            </w:r>
          </w:p>
          <w:p>
            <w:pPr>
              <w:ind w:left="380"/>
              <w:spacing w:line="221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drawing>
                <wp:anchor distT="0" distB="0" distL="0" distR="0" simplePos="0" relativeHeight="251694080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42086</wp:posOffset>
                  </wp:positionV>
                  <wp:extent cx="12192000" cy="3334511"/>
                  <wp:effectExtent l="0" t="0" r="0" b="0"/>
                  <wp:wrapNone/>
                  <wp:docPr id="17" name="IM 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" name="IM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(含税单价=税价合计金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额+用电数量)。</w:t>
            </w:r>
          </w:p>
          <w:p>
            <w:pPr>
              <w:ind w:left="352" w:right="292" w:firstLine="826"/>
              <w:spacing w:before="39" w:line="213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3.采用“先购电、后用电”电费收取方式的，“预购电价”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标准不得高于高峰时段燃煤发电基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准价、工商业及其他用电类别(单一制)不满1千伏电压等级电度输配电价，以及政府性基金及附加之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和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(上述三项现行合计标准为每千瓦时0.9185元)。“预购电价”与“终端用户当月到户电价”电费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差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额部分应定期多退少补，退补周期最长不得超过12个月。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group id="_x0000_s63" style="mso-position-vertical-relative:line;mso-position-horizontal-relative:char;width:960pt;height:76pt;" filled="false" stroked="false" coordsize="19200,1520" coordorigin="0,0">
            <v:group id="_x0000_s64" style="position:absolute;left:0;top:0;width:19200;height:1520;" filled="false" stroked="false" coordsize="19200,1520" coordorigin="0,0">
              <v:shape id="_x0000_s65" style="position:absolute;left:0;top:0;width:19200;height:1380;" fillcolor="#00B0F0" filled="true" stroked="false" coordsize="19200,1380" coordorigin="0,0" path="m,l19200,0l19200,1380l0,1380l0,0xe"/>
              <v:shape id="_x0000_s66" style="position:absolute;left:0;top:1369;width:11815;height:150;" fillcolor="#E5AA57" filled="true" stroked="false" coordsize="11815,150" coordorigin="0,0" path="m,l11747,10l11815,150l0,150l0,0e"/>
              <v:shape id="_x0000_s67" style="position:absolute;left:11835;top:1369;width:7365;height:150;" fillcolor="#00B0F0" filled="true" stroked="false" coordsize="7365,150" coordorigin="0,0" path="m,l7365,0l7365,150l90,150l0,0e"/>
            </v:group>
            <v:shape id="_x0000_s68" style="position:absolute;left:10654;top:257;width:7782;height:1179;" filled="false" stroked="false" type="#_x0000_t75">
              <v:imagedata r:id="rId11"/>
            </v:shape>
            <v:shape id="_x0000_s69" style="position:absolute;left:2683;top:362;width:5209;height:95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4"/>
                      </w:rPr>
                      <w:t>一部分：电力价格</w:t>
                    </w:r>
                  </w:p>
                </w:txbxContent>
              </v:textbox>
            </v:shape>
            <v:shape id="_x0000_s70" style="position:absolute;left:11534;top:482;width:5225;height:6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2"/>
                      </w:rPr>
                      <w:t>工</w:t>
                    </w: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48"/>
                      </w:rPr>
                      <w:t>商业非电网直供电价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6" w:lineRule="exact"/>
        <w:rPr/>
      </w:pPr>
      <w:r/>
    </w:p>
    <w:tbl>
      <w:tblPr>
        <w:tblStyle w:val="2"/>
        <w:tblW w:w="17967" w:type="dxa"/>
        <w:tblInd w:w="81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7967"/>
      </w:tblGrid>
      <w:tr>
        <w:trPr>
          <w:trHeight w:val="6385" w:hRule="atLeast"/>
        </w:trPr>
        <w:tc>
          <w:tcPr>
            <w:tcW w:w="1796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372" w:right="395" w:firstLine="781"/>
              <w:spacing w:before="171"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4.非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电网供电主体由电网企业代理购电、总表执行峰谷分时电价政策，且终端用户安装峰谷分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时电表的，终端用户用电价格按照国网山东省电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力公司公布的代理购电工商业用户电价表执行。非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电网供电主体直接参与电力市场交易的，其从电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力市场获得的交易价格应传导至终端用户。</w:t>
            </w:r>
          </w:p>
          <w:p>
            <w:pPr>
              <w:ind w:left="1185"/>
              <w:spacing w:before="2" w:line="201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5.物业公共部位、共用设施和配套设施的运行维护费用等，应通过物业费、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租金或公共收益解</w:t>
            </w:r>
          </w:p>
          <w:p>
            <w:pPr>
              <w:ind w:left="357"/>
              <w:spacing w:before="22" w:line="185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drawing>
                <wp:anchor distT="0" distB="0" distL="0" distR="0" simplePos="0" relativeHeight="251700224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9640</wp:posOffset>
                  </wp:positionV>
                  <wp:extent cx="12192000" cy="3334511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决，非电网供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电主体不得以任何名义随电费向终端用户收取。</w:t>
            </w:r>
          </w:p>
          <w:p>
            <w:pPr>
              <w:ind w:left="356" w:right="420" w:firstLine="817"/>
              <w:spacing w:before="73" w:line="219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6.转供电主体户要定期公示电价标准，确保电价公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开、透明。终端用户可以通过“网上国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    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网”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APP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“转供电费码”功能，查询转供电加价情况。转供电单位违反上述价格政策的，终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端用户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可拨打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12345政务服务热线投诉举报。对不执行电价公示制度的，市场监管部门将按违反明码标价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规定依法严肃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查处。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rect id="_x0000_s71" style="position:absolute;margin-left:0pt;margin-top:532.2pt;mso-position-vertical-relative:page;mso-position-horizontal-relative:page;width:960pt;height:7.8pt;z-index:251707392;" o:allowincell="f" fillcolor="#5B9BD5" filled="true" stroked="false"/>
        </w:pict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6307835</wp:posOffset>
            </wp:positionH>
            <wp:positionV relativeFrom="page">
              <wp:posOffset>1132331</wp:posOffset>
            </wp:positionV>
            <wp:extent cx="4287011" cy="5337048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87011" cy="533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72" style="mso-position-vertical-relative:line;mso-position-horizontal-relative:char;width:960pt;height:76pt;" filled="false" stroked="false" coordsize="19200,1520" coordorigin="0,0">
            <v:group id="_x0000_s73" style="position:absolute;left:0;top:0;width:19200;height:1520;" filled="false" stroked="false" coordsize="19200,1520" coordorigin="0,0">
              <v:shape id="_x0000_s74" style="position:absolute;left:0;top:0;width:19200;height:1380;" fillcolor="#00B0F0" filled="true" stroked="false" coordsize="19200,1380" coordorigin="0,0" path="m,l19200,0l19200,1380l0,1380l0,0xe"/>
              <v:shape id="_x0000_s75" style="position:absolute;left:0;top:1369;width:11815;height:150;" fillcolor="#E5AA57" filled="true" stroked="false" coordsize="11815,150" coordorigin="0,0" path="m,l11747,10l11815,150l0,150l0,0e"/>
              <v:shape id="_x0000_s76" style="position:absolute;left:11835;top:1369;width:7365;height:150;" fillcolor="#00B0F0" filled="true" stroked="false" coordsize="7365,150" coordorigin="0,0" path="m,l7365,0l7365,150l90,150l0,0e"/>
            </v:group>
            <v:shape id="_x0000_s77" style="position:absolute;left:10654;top:257;width:7782;height:1179;" filled="false" stroked="false" type="#_x0000_t75">
              <v:imagedata r:id="rId11"/>
            </v:shape>
            <v:shape id="_x0000_s78" style="position:absolute;left:2079;top:362;width:6417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3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9"/>
                      </w:rPr>
                      <w:t>二部分：企业技术中心</w:t>
                    </w:r>
                  </w:p>
                </w:txbxContent>
              </v:textbox>
            </v:shape>
            <v:shape id="_x0000_s79" style="position:absolute;left:11530;top:478;width:1953;height:66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187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8"/>
                      </w:rPr>
                      <w:t>奖补政策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47" w:lineRule="exact"/>
        <w:rPr/>
      </w:pPr>
      <w:r/>
    </w:p>
    <w:tbl>
      <w:tblPr>
        <w:tblStyle w:val="2"/>
        <w:tblW w:w="7880" w:type="dxa"/>
        <w:tblInd w:w="108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7880"/>
      </w:tblGrid>
      <w:tr>
        <w:trPr>
          <w:trHeight w:val="5070" w:hRule="atLeast"/>
        </w:trPr>
        <w:tc>
          <w:tcPr>
            <w:tcW w:w="7880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left="337" w:right="323" w:firstLine="800"/>
              <w:spacing w:before="172" w:line="215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企业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技术中心是经国家或省发展和改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革委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认定，企业根据市场竞争需要设立的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技术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研发与创新机构，负责制定企业技术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创新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规划、开展产业技术研发、创造运用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知识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产权、建立技术标准体系、凝聚培养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创新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人才、构建协同创新网络、推进技术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创新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全过程实施。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group id="_x0000_s80" style="mso-position-vertical-relative:line;mso-position-horizontal-relative:char;width:960pt;height:76pt;" filled="false" stroked="false" coordsize="19200,1520" coordorigin="0,0">
            <v:group id="_x0000_s81" style="position:absolute;left:0;top:0;width:19200;height:1520;" filled="false" stroked="false" coordsize="19200,1520" coordorigin="0,0">
              <v:shape id="_x0000_s82" style="position:absolute;left:0;top:0;width:19200;height:1380;" fillcolor="#00B0F0" filled="true" stroked="false" coordsize="19200,1380" coordorigin="0,0" path="m,l19200,0l19200,1380l0,1380l0,0xe"/>
              <v:shape id="_x0000_s83" style="position:absolute;left:0;top:1369;width:11815;height:150;" fillcolor="#E5AA57" filled="true" stroked="false" coordsize="11815,150" coordorigin="0,0" path="m,l11747,10l11815,150l0,150l0,0e"/>
              <v:shape id="_x0000_s84" style="position:absolute;left:11835;top:1369;width:7365;height:150;" fillcolor="#00B0F0" filled="true" stroked="false" coordsize="7365,150" coordorigin="0,0" path="m,l7365,0l7365,150l90,150l0,0e"/>
            </v:group>
            <v:shape id="_x0000_s85" style="position:absolute;left:10654;top:257;width:7782;height:1179;" filled="false" stroked="false" type="#_x0000_t75">
              <v:imagedata r:id="rId11"/>
            </v:shape>
            <v:shape id="_x0000_s86" style="position:absolute;left:2079;top:362;width:6417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3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9"/>
                      </w:rPr>
                      <w:t>二部分：企业技术中心</w:t>
                    </w:r>
                  </w:p>
                </w:txbxContent>
              </v:textbox>
            </v:shape>
            <v:shape id="_x0000_s87" style="position:absolute;left:11557;top:482;width:1925;height:6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1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1"/>
                      </w:rPr>
                      <w:t>申报条件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51" w:lineRule="exact"/>
        <w:rPr/>
      </w:pPr>
      <w:r/>
    </w:p>
    <w:tbl>
      <w:tblPr>
        <w:tblStyle w:val="2"/>
        <w:tblW w:w="16054" w:type="dxa"/>
        <w:tblInd w:w="108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6054"/>
      </w:tblGrid>
      <w:tr>
        <w:trPr>
          <w:trHeight w:val="6589" w:hRule="atLeast"/>
        </w:trPr>
        <w:tc>
          <w:tcPr>
            <w:tcW w:w="1605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182"/>
              <w:spacing w:before="171" w:line="221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6"/>
              </w:rPr>
              <w:t>国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4"/>
              </w:rPr>
              <w:t>家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8"/>
              </w:rPr>
              <w:t>企业技术中心申报条件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8"/>
              </w:rPr>
              <w:t>(主要)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8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8"/>
              </w:rPr>
              <w:t>：</w:t>
            </w:r>
          </w:p>
          <w:p>
            <w:pPr>
              <w:ind w:left="359" w:right="244" w:firstLine="829"/>
              <w:spacing w:before="39"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1、企业在行业中具有显著的发展优势和竞争优势，具有行业领先的技术创新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能力和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8"/>
              </w:rPr>
              <w:t>水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6"/>
              </w:rPr>
              <w:t>平；</w:t>
            </w:r>
          </w:p>
          <w:p>
            <w:pPr>
              <w:ind w:left="1173"/>
              <w:spacing w:line="184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2、企业具有较好的技术创新机制，企业技术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中心组织体系健全，创新效率和效益显</w:t>
            </w:r>
          </w:p>
          <w:p>
            <w:pPr>
              <w:ind w:left="357"/>
              <w:spacing w:before="2" w:line="209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drawing>
                <wp:anchor distT="0" distB="0" distL="0" distR="0" simplePos="0" relativeHeight="251711488" behindDoc="1" locked="0" layoutInCell="1" allowOverlap="1">
                  <wp:simplePos x="0" y="0"/>
                  <wp:positionH relativeFrom="column">
                    <wp:posOffset>-697230</wp:posOffset>
                  </wp:positionH>
                  <wp:positionV relativeFrom="paragraph">
                    <wp:posOffset>70139</wp:posOffset>
                  </wp:positionV>
                  <wp:extent cx="12192000" cy="3334511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1"/>
              </w:rPr>
              <w:t>著；</w:t>
            </w:r>
          </w:p>
          <w:p>
            <w:pPr>
              <w:ind w:left="357" w:right="149" w:firstLine="824"/>
              <w:spacing w:before="2" w:line="222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3、有较高的研究开发投入，年度研究与试验发展经费支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出额不低于1500万元；拥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有技术水平高、实践经验丰富的技术带头人，专职研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究与试验发展人员数不少于150人；</w:t>
            </w:r>
          </w:p>
          <w:p>
            <w:pPr>
              <w:ind w:left="359" w:right="504" w:firstLine="797"/>
              <w:spacing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4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、具有比较完善的研究、开发、试验条件，技术开发仪器设备原值不低于2000万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元；有较好的技术积累，重视前沿技术开发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，具有开展高水平技术创新活动的能力；</w:t>
            </w:r>
          </w:p>
          <w:p>
            <w:pPr>
              <w:ind w:left="1187"/>
              <w:spacing w:before="1" w:line="201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5、具有省级企业技术中心资格两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年以上。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rect id="_x0000_s88" style="position:absolute;margin-left:0pt;margin-top:532.2pt;mso-position-vertical-relative:page;mso-position-horizontal-relative:page;width:960pt;height:7.8pt;z-index:251717632;" o:allowincell="f" fillcolor="#5B9BD5" filled="true" stroked="false"/>
        </w:pict>
      </w:r>
      <w:r>
        <w:pict>
          <v:group id="_x0000_s89" style="mso-position-vertical-relative:line;mso-position-horizontal-relative:char;width:960pt;height:76pt;" filled="false" stroked="false" coordsize="19200,1520" coordorigin="0,0">
            <v:group id="_x0000_s90" style="position:absolute;left:0;top:0;width:19200;height:1520;" filled="false" stroked="false" coordsize="19200,1520" coordorigin="0,0">
              <v:shape id="_x0000_s91" style="position:absolute;left:0;top:0;width:19200;height:1380;" fillcolor="#00B0F0" filled="true" stroked="false" coordsize="19200,1380" coordorigin="0,0" path="m,l19200,0l19200,1380l0,1380l0,0xe"/>
              <v:shape id="_x0000_s92" style="position:absolute;left:0;top:1369;width:11815;height:150;" fillcolor="#E5AA57" filled="true" stroked="false" coordsize="11815,150" coordorigin="0,0" path="m,l11747,10l11815,150l0,150l0,0e"/>
              <v:shape id="_x0000_s93" style="position:absolute;left:11835;top:1369;width:7365;height:150;" fillcolor="#00B0F0" filled="true" stroked="false" coordsize="7365,150" coordorigin="0,0" path="m,l7365,0l7365,150l90,150l0,0e"/>
            </v:group>
            <v:shape id="_x0000_s94" style="position:absolute;left:10654;top:257;width:7782;height:1179;" filled="false" stroked="false" type="#_x0000_t75">
              <v:imagedata r:id="rId11"/>
            </v:shape>
            <v:shape id="_x0000_s95" style="position:absolute;left:2079;top:362;width:6417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3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9"/>
                      </w:rPr>
                      <w:t>二部分：企业技术中心</w:t>
                    </w:r>
                  </w:p>
                </w:txbxContent>
              </v:textbox>
            </v:shape>
            <v:shape id="_x0000_s96" style="position:absolute;left:11557;top:482;width:1925;height:6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1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1"/>
                      </w:rPr>
                      <w:t>申报条件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72" w:lineRule="exact"/>
        <w:rPr/>
      </w:pPr>
      <w:r/>
    </w:p>
    <w:tbl>
      <w:tblPr>
        <w:tblStyle w:val="2"/>
        <w:tblW w:w="16054" w:type="dxa"/>
        <w:tblInd w:w="108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6054"/>
      </w:tblGrid>
      <w:tr>
        <w:trPr>
          <w:trHeight w:val="7701" w:hRule="atLeast"/>
        </w:trPr>
        <w:tc>
          <w:tcPr>
            <w:tcW w:w="1605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172"/>
              <w:spacing w:before="172" w:line="221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7"/>
              </w:rPr>
              <w:t>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0"/>
              </w:rPr>
              <w:t>企业技术中心申报条件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0"/>
              </w:rPr>
              <w:t>(主要)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0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0"/>
              </w:rPr>
              <w:t>：</w:t>
            </w:r>
          </w:p>
          <w:p>
            <w:pPr>
              <w:ind w:left="371" w:right="397" w:firstLine="829"/>
              <w:spacing w:before="39"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1、企业在行业中具有显著的发展优势和竞争优势，具有较强创新能力和较高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创新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8"/>
              </w:rPr>
              <w:t>水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5"/>
              </w:rPr>
              <w:t>平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4"/>
              </w:rPr>
              <w:t>，企业年主营业务收入不低于2亿元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4"/>
              </w:rPr>
              <w:t>(其中高新技术企业不低于1亿元)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4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4"/>
              </w:rPr>
              <w:t>，或研发经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费支出占主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营业务收入比重高于10%。</w:t>
            </w:r>
          </w:p>
          <w:p>
            <w:pPr>
              <w:ind w:left="375" w:right="544" w:firstLine="811"/>
              <w:spacing w:before="2" w:line="209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2、企业具有较好的技术创新机制，企业技术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中心组织体系健全，创新效率和效益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4"/>
              </w:rPr>
              <w:t>显著；有较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好的技术积累，重视前沿技术开发，具有开展高水平技术创新活动的能力。</w:t>
            </w:r>
          </w:p>
          <w:p>
            <w:pPr>
              <w:spacing w:before="1" w:line="202" w:lineRule="auto"/>
              <w:jc w:val="right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4"/>
              </w:rPr>
              <w:t>3、企业具有较高的研究开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发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投入，年度研究与试验发展经费支出额不低于800万元。</w:t>
            </w:r>
          </w:p>
          <w:p>
            <w:pPr>
              <w:ind w:left="369" w:right="632" w:firstLine="800"/>
              <w:spacing w:before="19"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4、企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业拥有技术水平高、实践经验丰富的技术带头人，专职研究与试验发展人员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数不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少于60人。</w:t>
            </w:r>
          </w:p>
          <w:p>
            <w:pPr>
              <w:ind w:left="372" w:right="328" w:firstLine="827"/>
              <w:spacing w:before="6" w:line="209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5、企业具有比较完善的研究、开发、试验条件，技术开发仪器设备原值不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低于800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6"/>
              </w:rPr>
              <w:t>万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0"/>
              </w:rPr>
              <w:t>元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8"/>
              </w:rPr>
              <w:t>，软件服务、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8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8"/>
              </w:rPr>
              <w:t>医药研发行业可放宽至不低于500万元。</w:t>
            </w:r>
          </w:p>
          <w:p>
            <w:pPr>
              <w:ind w:left="1189"/>
              <w:spacing w:line="186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6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、企业具有市级企业技术中心资格2年以上。</w:t>
            </w:r>
          </w:p>
        </w:tc>
      </w:tr>
    </w:tbl>
    <w:p>
      <w:pPr>
        <w:spacing w:line="241" w:lineRule="exact"/>
        <w:rPr>
          <w:rFonts w:ascii="Arial"/>
          <w:sz w:val="20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rect id="_x0000_s97" style="position:absolute;margin-left:0pt;margin-top:532.2pt;mso-position-vertical-relative:page;mso-position-horizontal-relative:page;width:960pt;height:7.8pt;z-index:251722752;" o:allowincell="f" fillcolor="#5B9BD5" filled="true" stroked="false"/>
        </w:pict>
      </w:r>
      <w:r>
        <w:pict>
          <v:group id="_x0000_s98" style="mso-position-vertical-relative:line;mso-position-horizontal-relative:char;width:960pt;height:76pt;" filled="false" stroked="false" coordsize="19200,1520" coordorigin="0,0">
            <v:group id="_x0000_s99" style="position:absolute;left:0;top:0;width:19200;height:1520;" filled="false" stroked="false" coordsize="19200,1520" coordorigin="0,0">
              <v:shape id="_x0000_s100" style="position:absolute;left:0;top:0;width:19200;height:1380;" fillcolor="#00B0F0" filled="true" stroked="false" coordsize="19200,1380" coordorigin="0,0" path="m,l19200,0l19200,1380l0,1380l0,0xe"/>
              <v:shape id="_x0000_s101" style="position:absolute;left:0;top:1369;width:11815;height:150;" fillcolor="#E5AA57" filled="true" stroked="false" coordsize="11815,150" coordorigin="0,0" path="m,l11747,10l11815,150l0,150l0,0e"/>
              <v:shape id="_x0000_s102" style="position:absolute;left:11835;top:1369;width:7365;height:150;" fillcolor="#00B0F0" filled="true" stroked="false" coordsize="7365,150" coordorigin="0,0" path="m,l7365,0l7365,150l90,150l0,0e"/>
            </v:group>
            <v:shape id="_x0000_s103" style="position:absolute;left:10654;top:257;width:7782;height:1179;" filled="false" stroked="false" type="#_x0000_t75">
              <v:imagedata r:id="rId11"/>
            </v:shape>
            <v:shape id="_x0000_s104" style="position:absolute;left:2079;top:362;width:6417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36"/>
                      </w:rPr>
                      <w:t>第</w:t>
                    </w: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29"/>
                      </w:rPr>
                      <w:t>二部分：企业技术中心</w:t>
                    </w:r>
                  </w:p>
                </w:txbxContent>
              </v:textbox>
            </v:shape>
            <v:shape id="_x0000_s105" style="position:absolute;left:11528;top:478;width:1953;height:66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87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:spacing w:val="9"/>
                      </w:rPr>
                      <w:t>注</w:t>
                    </w: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:spacing w:val="8"/>
                      </w:rPr>
                      <w:t>意事项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87" w:lineRule="exact"/>
        <w:rPr/>
      </w:pPr>
      <w:r/>
    </w:p>
    <w:tbl>
      <w:tblPr>
        <w:tblStyle w:val="2"/>
        <w:tblW w:w="16054" w:type="dxa"/>
        <w:tblInd w:w="138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6054"/>
      </w:tblGrid>
      <w:tr>
        <w:trPr>
          <w:trHeight w:val="5554" w:hRule="atLeast"/>
        </w:trPr>
        <w:tc>
          <w:tcPr>
            <w:tcW w:w="16054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143"/>
              <w:spacing w:before="172" w:line="226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企业在申请受理截止日期前两年内，不得存在下列情形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：</w:t>
            </w:r>
          </w:p>
          <w:p>
            <w:pPr>
              <w:ind w:left="346" w:right="256" w:firstLine="830"/>
              <w:spacing w:before="28"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7"/>
              </w:rPr>
              <w:t>1、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7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7"/>
              </w:rPr>
              <w:t>因违反税收征管法及有关法律、行政法规，构成偷税、骗取出口退税等严重税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收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违法行为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。</w:t>
            </w:r>
          </w:p>
          <w:p>
            <w:pPr>
              <w:ind w:left="1162"/>
              <w:spacing w:line="203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2、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被有关部门认定存在严重失信行为。</w:t>
            </w:r>
          </w:p>
          <w:p>
            <w:pPr>
              <w:ind w:left="1169"/>
              <w:spacing w:before="17" w:line="202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3、发生重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大产品质量事故或重大安全责任事故。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215" w:lineRule="auto"/>
        <w:tabs>
          <w:tab w:val="left" w:leader="empty" w:pos="2098"/>
        </w:tabs>
        <w:rPr>
          <w:sz w:val="53"/>
          <w:szCs w:val="53"/>
        </w:rPr>
      </w:pPr>
      <w:r>
        <w:rPr>
          <w:rFonts w:ascii="Microsoft YaHei" w:hAnsi="Microsoft YaHei" w:eastAsia="Microsoft YaHei" w:cs="Microsoft YaHei"/>
          <w:sz w:val="53"/>
          <w:szCs w:val="53"/>
          <w:color w:val="FFFFFF"/>
        </w:rPr>
        <w:tab/>
      </w:r>
      <w:r>
        <w:rPr>
          <w:shd w:val="clear" w:fill="00B0F0"/>
          <w:rFonts w:ascii="Microsoft YaHei" w:hAnsi="Microsoft YaHei" w:eastAsia="Microsoft YaHei" w:cs="Microsoft YaHei"/>
          <w:sz w:val="53"/>
          <w:szCs w:val="53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3"/>
        </w:rPr>
        <w:t>第</w:t>
      </w:r>
      <w:r>
        <w:rPr>
          <w:shd w:val="clear" w:fill="00B0F0"/>
          <w:rFonts w:ascii="Microsoft YaHei" w:hAnsi="Microsoft YaHei" w:eastAsia="Microsoft YaHei" w:cs="Microsoft YaHei"/>
          <w:sz w:val="53"/>
          <w:szCs w:val="53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19"/>
        </w:rPr>
        <w:t>二部分：企业技术中心</w:t>
      </w:r>
      <w:r>
        <w:rPr>
          <w:rFonts w:ascii="Microsoft YaHei" w:hAnsi="Microsoft YaHei" w:eastAsia="Microsoft YaHei" w:cs="Microsoft YaHei"/>
          <w:sz w:val="53"/>
          <w:szCs w:val="53"/>
          <w:color w:val="FFFFFF"/>
          <w:spacing w:val="19"/>
        </w:rPr>
        <w:t xml:space="preserve">                     </w:t>
      </w:r>
      <w:r>
        <w:rPr>
          <w:sz w:val="53"/>
          <w:szCs w:val="53"/>
          <w:position w:val="-52"/>
        </w:rPr>
        <w:drawing>
          <wp:inline distT="0" distB="0" distL="0" distR="0">
            <wp:extent cx="4676775" cy="91413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6775" cy="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324" w:lineRule="exact"/>
        <w:rPr/>
      </w:pPr>
      <w:r>
        <w:rPr>
          <w:position w:val="-186"/>
        </w:rPr>
        <w:drawing>
          <wp:inline distT="0" distB="0" distL="0" distR="0">
            <wp:extent cx="12192000" cy="592124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592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382" w:right="0" w:bottom="1" w:left="0" w:header="0" w:footer="0" w:gutter="0"/>
        </w:sectPr>
        <w:rPr/>
      </w:pPr>
    </w:p>
    <w:p>
      <w:pPr>
        <w:spacing w:before="2" w:line="215" w:lineRule="auto"/>
        <w:tabs>
          <w:tab w:val="left" w:leader="empty" w:pos="2098"/>
        </w:tabs>
        <w:rPr>
          <w:sz w:val="54"/>
          <w:szCs w:val="54"/>
        </w:rPr>
      </w:pPr>
      <w:r>
        <w:rPr>
          <w:rFonts w:ascii="Microsoft YaHei" w:hAnsi="Microsoft YaHei" w:eastAsia="Microsoft YaHei" w:cs="Microsoft YaHei"/>
          <w:sz w:val="54"/>
          <w:szCs w:val="54"/>
          <w:color w:val="FFFFFF"/>
        </w:rPr>
        <w:tab/>
      </w:r>
      <w:r>
        <w:rPr>
          <w:shd w:val="clear" w:fill="00B0F0"/>
          <w:rFonts w:ascii="Microsoft YaHei" w:hAnsi="Microsoft YaHei" w:eastAsia="Microsoft YaHei" w:cs="Microsoft YaHei"/>
          <w:sz w:val="54"/>
          <w:szCs w:val="54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6"/>
        </w:rPr>
        <w:t>第</w:t>
      </w:r>
      <w:r>
        <w:rPr>
          <w:shd w:val="clear" w:fill="00B0F0"/>
          <w:rFonts w:ascii="Microsoft YaHei" w:hAnsi="Microsoft YaHei" w:eastAsia="Microsoft YaHei" w:cs="Microsoft YaHei"/>
          <w:sz w:val="54"/>
          <w:szCs w:val="54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24"/>
        </w:rPr>
        <w:t>二</w:t>
      </w:r>
      <w:r>
        <w:rPr>
          <w:shd w:val="clear" w:fill="00B0F0"/>
          <w:rFonts w:ascii="Microsoft YaHei" w:hAnsi="Microsoft YaHei" w:eastAsia="Microsoft YaHei" w:cs="Microsoft YaHei"/>
          <w:sz w:val="54"/>
          <w:szCs w:val="54"/>
          <w:color w:val="FFFFFF"/>
          <w14:textOutline w14:w="6350" w14:cap="flat" w14:cmpd="sng">
            <w14:solidFill>
              <w14:srgbClr w14:val="FFFFFF"/>
            </w14:solidFill>
            <w14:prstDash w14:val="solid"/>
            <w14:miter w14:lim="0"/>
          </w14:textOutline>
          <w:spacing w:val="13"/>
        </w:rPr>
        <w:t>部分：企业技术中心</w:t>
      </w:r>
      <w:r>
        <w:rPr>
          <w:rFonts w:ascii="Microsoft YaHei" w:hAnsi="Microsoft YaHei" w:eastAsia="Microsoft YaHei" w:cs="Microsoft YaHei"/>
          <w:sz w:val="54"/>
          <w:szCs w:val="54"/>
          <w:color w:val="FFFFFF"/>
          <w:spacing w:val="13"/>
        </w:rPr>
        <w:t xml:space="preserve">                     </w:t>
      </w:r>
      <w:r>
        <w:rPr>
          <w:sz w:val="54"/>
          <w:szCs w:val="54"/>
          <w:position w:val="-53"/>
        </w:rPr>
        <w:drawing>
          <wp:inline distT="0" distB="0" distL="0" distR="0">
            <wp:extent cx="4676775" cy="93322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6775" cy="9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301" w:lineRule="exact"/>
        <w:rPr/>
      </w:pPr>
      <w:r>
        <w:rPr>
          <w:position w:val="-186"/>
        </w:rPr>
        <w:drawing>
          <wp:inline distT="0" distB="0" distL="0" distR="0">
            <wp:extent cx="12192000" cy="590676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59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382" w:right="0" w:bottom="1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rect id="_x0000_s106" style="position:absolute;margin-left:0pt;margin-top:532.2pt;mso-position-vertical-relative:page;mso-position-horizontal-relative:page;width:960pt;height:7.8pt;z-index:251739136;" o:allowincell="f" fillcolor="#5B9BD5" filled="true" stroked="false"/>
        </w:pict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483108</wp:posOffset>
            </wp:positionH>
            <wp:positionV relativeFrom="page">
              <wp:posOffset>1322832</wp:posOffset>
            </wp:positionV>
            <wp:extent cx="6313932" cy="4989575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3932" cy="498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" style="mso-position-vertical-relative:line;mso-position-horizontal-relative:char;width:960pt;height:76pt;" filled="false" stroked="false" coordsize="19200,1520" coordorigin="0,0">
            <v:group id="_x0000_s108" style="position:absolute;left:0;top:0;width:19200;height:1520;" filled="false" stroked="false" coordsize="19200,1520" coordorigin="0,0">
              <v:shape id="_x0000_s109" style="position:absolute;left:0;top:0;width:19200;height:1380;" fillcolor="#00B0F0" filled="true" stroked="false" coordsize="19200,1380" coordorigin="0,0" path="m,l19200,0l19200,1380l0,1380l0,0xe"/>
              <v:shape id="_x0000_s110" style="position:absolute;left:0;top:1369;width:11815;height:150;" fillcolor="#E5AA57" filled="true" stroked="false" coordsize="11815,150" coordorigin="0,0" path="m,l11747,10l11815,150l0,150l0,0e"/>
              <v:shape id="_x0000_s111" style="position:absolute;left:11835;top:1369;width:7365;height:150;" fillcolor="#00B0F0" filled="true" stroked="false" coordsize="7365,150" coordorigin="0,0" path="m,l7365,0l7365,150l90,150l0,0e"/>
            </v:group>
            <v:shape id="_x0000_s112" style="position:absolute;left:-20;top:-20;width:19240;height:173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07"/>
                      <w:spacing w:before="400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0"/>
                      </w:rPr>
                      <w:t>第三部分：服务业相关政策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47" w:lineRule="exact"/>
        <w:rPr/>
      </w:pPr>
      <w:r/>
    </w:p>
    <w:tbl>
      <w:tblPr>
        <w:tblStyle w:val="2"/>
        <w:tblW w:w="7881" w:type="dxa"/>
        <w:tblInd w:w="10792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7881"/>
      </w:tblGrid>
      <w:tr>
        <w:trPr>
          <w:trHeight w:val="5070" w:hRule="atLeast"/>
        </w:trPr>
        <w:tc>
          <w:tcPr>
            <w:tcW w:w="788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341" w:right="279" w:firstLine="815"/>
              <w:spacing w:before="172" w:line="218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2022年6月17日市发改委、市财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政局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联合印发《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聊城市支持服务业高质量发展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条措施》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group id="_x0000_s113" style="mso-position-vertical-relative:line;mso-position-horizontal-relative:char;width:960pt;height:76pt;" filled="false" stroked="false" coordsize="19200,1520" coordorigin="0,0">
            <v:group id="_x0000_s114" style="position:absolute;left:0;top:0;width:19200;height:1520;" filled="false" stroked="false" coordsize="19200,1520" coordorigin="0,0">
              <v:shape id="_x0000_s115" style="position:absolute;left:0;top:0;width:19200;height:1380;" fillcolor="#00B0F0" filled="true" stroked="false" coordsize="19200,1380" coordorigin="0,0" path="m,l19200,0l19200,1380l0,1380l0,0xe"/>
              <v:shape id="_x0000_s116" style="position:absolute;left:0;top:1369;width:11815;height:150;" fillcolor="#E5AA57" filled="true" stroked="false" coordsize="11815,150" coordorigin="0,0" path="m,l11747,10l11815,150l0,150l0,0e"/>
              <v:shape id="_x0000_s117" style="position:absolute;left:11835;top:1369;width:7365;height:150;" fillcolor="#00B0F0" filled="true" stroked="false" coordsize="7365,150" coordorigin="0,0" path="m,l7365,0l7365,150l90,150l0,0e"/>
            </v:group>
            <v:shape id="_x0000_s118" style="position:absolute;left:10654;top:257;width:7782;height:1179;" filled="false" stroked="false" type="#_x0000_t75">
              <v:imagedata r:id="rId11"/>
            </v:shape>
            <v:shape id="_x0000_s119" style="position:absolute;left:1667;top:362;width:7240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0"/>
                      </w:rPr>
                      <w:t>第三部分：服务业相关政策</w:t>
                    </w:r>
                  </w:p>
                </w:txbxContent>
              </v:textbox>
            </v:shape>
            <v:shape id="_x0000_s120" style="position:absolute;left:11529;top:482;width:1953;height:6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1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:spacing w:val="8"/>
                      </w:rPr>
                      <w:t>具体内容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6" w:lineRule="exact"/>
        <w:rPr/>
      </w:pPr>
      <w:r/>
    </w:p>
    <w:tbl>
      <w:tblPr>
        <w:tblStyle w:val="2"/>
        <w:tblW w:w="17967" w:type="dxa"/>
        <w:tblInd w:w="81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7967"/>
      </w:tblGrid>
      <w:tr>
        <w:trPr>
          <w:trHeight w:val="6385" w:hRule="atLeast"/>
        </w:trPr>
        <w:tc>
          <w:tcPr>
            <w:tcW w:w="1796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356" w:right="560" w:firstLine="800"/>
              <w:spacing w:before="172" w:line="222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一、鼓励服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务业企业升规上限。对新增升规入统的规上服务业企业，最高给予5万元奖励；对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2"/>
              </w:rPr>
              <w:t>新增上限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7"/>
              </w:rPr>
              <w:t>入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>统的批发零售业、餐饮住宿业企业给予最高5万元、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>3万元奖励。</w:t>
            </w:r>
          </w:p>
          <w:p>
            <w:pPr>
              <w:ind w:left="358" w:right="395" w:firstLine="804"/>
              <w:spacing w:before="4" w:line="209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0"/>
              </w:rPr>
              <w:t>二、鼓励服务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8"/>
              </w:rPr>
              <w:t>业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企业加速发展。对在库一年以上的规模以上服务业企业、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限额以上批零住餐企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业，当年主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营业务收入、销售收入与上年同比增长30%的给予最高3万元奖励，同比增长50%以上</w:t>
            </w:r>
          </w:p>
          <w:p>
            <w:pPr>
              <w:ind w:left="373"/>
              <w:spacing w:before="1" w:line="184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drawing>
                <wp:anchor distT="0" distB="0" distL="0" distR="0" simplePos="0" relativeHeight="251743232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-3381</wp:posOffset>
                  </wp:positionV>
                  <wp:extent cx="12192000" cy="3334511"/>
                  <wp:effectExtent l="0" t="0" r="0" b="0"/>
                  <wp:wrapNone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的给予最高5万元奖励。</w:t>
            </w:r>
          </w:p>
          <w:p>
            <w:pPr>
              <w:ind w:left="362" w:right="395" w:firstLine="800"/>
              <w:spacing w:before="74" w:line="223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三、鼓励企业非核心业务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剥离。对市内工业、农业等类企业将销售、服务等业务剥离，设立独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6"/>
              </w:rPr>
              <w:t>立核算的服务业企业且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5"/>
              </w:rPr>
              <w:t>首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3"/>
              </w:rPr>
              <w:t>次纳入规上统计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3"/>
              </w:rPr>
              <w:t>(房地产开发经营企业除外)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3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3"/>
              </w:rPr>
              <w:t>，给予最高5万元奖励。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group id="_x0000_s121" style="mso-position-vertical-relative:line;mso-position-horizontal-relative:char;width:960pt;height:76pt;" filled="false" stroked="false" coordsize="19200,1520" coordorigin="0,0">
            <v:group id="_x0000_s122" style="position:absolute;left:0;top:0;width:19200;height:1520;" filled="false" stroked="false" coordsize="19200,1520" coordorigin="0,0">
              <v:shape id="_x0000_s123" style="position:absolute;left:0;top:0;width:19200;height:1380;" fillcolor="#00B0F0" filled="true" stroked="false" coordsize="19200,1380" coordorigin="0,0" path="m,l19200,0l19200,1380l0,1380l0,0xe"/>
              <v:shape id="_x0000_s124" style="position:absolute;left:0;top:1369;width:11815;height:150;" fillcolor="#E5AA57" filled="true" stroked="false" coordsize="11815,150" coordorigin="0,0" path="m,l11747,10l11815,150l0,150l0,0e"/>
              <v:shape id="_x0000_s125" style="position:absolute;left:11835;top:1369;width:7365;height:150;" fillcolor="#00B0F0" filled="true" stroked="false" coordsize="7365,150" coordorigin="0,0" path="m,l7365,0l7365,150l90,150l0,0e"/>
            </v:group>
            <v:shape id="_x0000_s126" style="position:absolute;left:10654;top:257;width:7782;height:1179;" filled="false" stroked="false" type="#_x0000_t75">
              <v:imagedata r:id="rId11"/>
            </v:shape>
            <v:shape id="_x0000_s127" style="position:absolute;left:1667;top:362;width:7240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0"/>
                      </w:rPr>
                      <w:t>第三部分：服务业相关政策</w:t>
                    </w:r>
                  </w:p>
                </w:txbxContent>
              </v:textbox>
            </v:shape>
            <v:shape id="_x0000_s128" style="position:absolute;left:11529;top:482;width:1953;height:6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1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:spacing w:val="8"/>
                      </w:rPr>
                      <w:t>具体内容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6" w:lineRule="exact"/>
        <w:rPr/>
      </w:pPr>
      <w:r/>
    </w:p>
    <w:tbl>
      <w:tblPr>
        <w:tblStyle w:val="2"/>
        <w:tblW w:w="17967" w:type="dxa"/>
        <w:tblInd w:w="81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7967"/>
      </w:tblGrid>
      <w:tr>
        <w:trPr>
          <w:trHeight w:val="6385" w:hRule="atLeast"/>
        </w:trPr>
        <w:tc>
          <w:tcPr>
            <w:tcW w:w="17967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358" w:right="395" w:firstLine="828"/>
              <w:spacing w:before="172"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2"/>
              </w:rPr>
              <w:t>四、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9"/>
              </w:rPr>
              <w:t>鼓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>励在聊分支机构“分改子”。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>引导推动市外服务业企业在聊分支机构注册登记为具有独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2"/>
              </w:rPr>
              <w:t>立法人资格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的子公司，且纳入规上限上统计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(房地产开发经营企业除外)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，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自入统年度次年起三年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内，其营业收入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超过2亿元且增速超过全市规上限上企业平均增速的年度，次年一次性给予企业最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高20万元的奖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励。</w:t>
            </w:r>
          </w:p>
          <w:p>
            <w:pPr>
              <w:ind w:left="354" w:right="395" w:firstLine="804"/>
              <w:spacing w:line="214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drawing>
                <wp:anchor distT="0" distB="0" distL="0" distR="0" simplePos="0" relativeHeight="251749376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-4336</wp:posOffset>
                  </wp:positionV>
                  <wp:extent cx="12192000" cy="3334511"/>
                  <wp:effectExtent l="0" t="0" r="0" b="0"/>
                  <wp:wrapNone/>
                  <wp:docPr id="27" name="IM 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" name="IM 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五、鼓励引进和培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育总部经济。经认定引进新落户的总部经济、平台经济及重大服务业招商引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6"/>
              </w:rPr>
              <w:t>资项目，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4"/>
              </w:rPr>
              <w:t>在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3"/>
              </w:rPr>
              <w:t>聊城市注册成立，具有独立法人资格，实行统一核算，纳入规上限上统计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3"/>
              </w:rPr>
              <w:t>(房地产开发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经营企业除外)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"/>
              </w:rPr>
              <w:t>，年营业收入超过2亿元，且营业收入增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速超过全市规上限上企业平均增速的，由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8"/>
              </w:rPr>
              <w:t>所在县(市、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8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8"/>
              </w:rPr>
              <w:t>区)参照先进地区“一事一议”的办法给予奖励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7"/>
              </w:rPr>
              <w:t>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group id="_x0000_s129" style="mso-position-vertical-relative:line;mso-position-horizontal-relative:char;width:960pt;height:76pt;" filled="false" stroked="false" coordsize="19200,1520" coordorigin="0,0">
            <v:group id="_x0000_s130" style="position:absolute;left:0;top:0;width:19200;height:1520;" filled="false" stroked="false" coordsize="19200,1520" coordorigin="0,0">
              <v:shape id="_x0000_s131" style="position:absolute;left:0;top:0;width:19200;height:1380;" fillcolor="#00B0F0" filled="true" stroked="false" coordsize="19200,1380" coordorigin="0,0" path="m,l19200,0l19200,1380l0,1380l0,0xe"/>
              <v:shape id="_x0000_s132" style="position:absolute;left:0;top:1369;width:11815;height:150;" fillcolor="#E5AA57" filled="true" stroked="false" coordsize="11815,150" coordorigin="0,0" path="m,l11747,10l11815,150l0,150l0,0e"/>
              <v:shape id="_x0000_s133" style="position:absolute;left:11835;top:1369;width:7365;height:150;" fillcolor="#00B0F0" filled="true" stroked="false" coordsize="7365,150" coordorigin="0,0" path="m,l7365,0l7365,150l90,150l0,0e"/>
            </v:group>
            <v:shape id="_x0000_s134" style="position:absolute;left:10654;top:257;width:7782;height:1179;" filled="false" stroked="false" type="#_x0000_t75">
              <v:imagedata r:id="rId11"/>
            </v:shape>
            <v:shape id="_x0000_s135" style="position:absolute;left:1667;top:362;width:7240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0"/>
                      </w:rPr>
                      <w:t>第三部分：服务业相关政策</w:t>
                    </w:r>
                  </w:p>
                </w:txbxContent>
              </v:textbox>
            </v:shape>
            <v:shape id="_x0000_s136" style="position:absolute;left:11529;top:482;width:1953;height:6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1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:spacing w:val="8"/>
                      </w:rPr>
                      <w:t>具体内容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6" w:lineRule="exact"/>
        <w:rPr/>
      </w:pPr>
      <w:r/>
    </w:p>
    <w:tbl>
      <w:tblPr>
        <w:tblStyle w:val="2"/>
        <w:tblW w:w="18011" w:type="dxa"/>
        <w:tblInd w:w="81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8011"/>
      </w:tblGrid>
      <w:tr>
        <w:trPr>
          <w:trHeight w:val="6385" w:hRule="atLeast"/>
        </w:trPr>
        <w:tc>
          <w:tcPr>
            <w:tcW w:w="18011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356" w:firstLine="804"/>
              <w:spacing w:before="172"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六、鼓励现代服务业集聚建设。对当年新获认定的省级、市级现代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服务业集聚区，市财政分别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2"/>
              </w:rPr>
              <w:t>给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7"/>
              </w:rPr>
              <w:t>予集聚区管理机构一次性奖励30万元、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7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7"/>
              </w:rPr>
              <w:t>10万元；鼓励商家、企业自愿成立“统一收银、统一核算、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>统一报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税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”公司，并纳入规上限上统计，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自入统年度次年起三年内，其营业收入超过2亿元且增速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  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超过全市规上限上企业平均增速的年度，市财政次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年一次性给予企业最高20万元的奖励。</w:t>
            </w:r>
          </w:p>
          <w:p>
            <w:pPr>
              <w:ind w:left="355" w:right="299" w:firstLine="805"/>
              <w:spacing w:before="8" w:line="209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drawing>
                <wp:anchor distT="0" distB="0" distL="0" distR="0" simplePos="0" relativeHeight="251755520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896</wp:posOffset>
                  </wp:positionV>
                  <wp:extent cx="12192000" cy="3334511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2000" cy="33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七、鼓励“两业融合”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发展试点和服务业创新中心培育。对当年新获认定的省级、市级先进制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9"/>
              </w:rPr>
              <w:t>造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业和现代服务业融合发展试点，市财政分别给予管理机构一次性奖励最高30万元、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10万元。对当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9"/>
              </w:rPr>
              <w:t>年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新获认定的省级、市级服务业创新中心，市财政分别给予管理机构一次性奖励最高30万元、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10万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元。</w:t>
            </w:r>
          </w:p>
          <w:p>
            <w:pPr>
              <w:ind w:left="1154"/>
              <w:spacing w:line="210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0"/>
              </w:rPr>
              <w:t>八、加强人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才培育及引进力度。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5"/>
              </w:rPr>
              <w:t>引进培育服务业高层次人才引进，积极申报省级服务业专业人</w:t>
            </w:r>
          </w:p>
          <w:p>
            <w:pPr>
              <w:ind w:left="358"/>
              <w:spacing w:line="431" w:lineRule="exact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  <w:position w:val="-2"/>
              </w:rPr>
              <w:t>才。对当年新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position w:val="-2"/>
              </w:rPr>
              <w:t>获批的市级服务业专业人才，给予一次性奖励5万元。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rect id="_x0000_s137" style="position:absolute;margin-left:0pt;margin-top:532.2pt;mso-position-vertical-relative:page;mso-position-horizontal-relative:page;width:960pt;height:7.8pt;z-index:251761664;" o:allowincell="f" fillcolor="#5B9BD5" filled="true" stroked="false"/>
        </w:pict>
      </w:r>
      <w:r>
        <w:pict>
          <v:group id="_x0000_s138" style="mso-position-vertical-relative:line;mso-position-horizontal-relative:char;width:960pt;height:76pt;" filled="false" stroked="false" coordsize="19200,1520" coordorigin="0,0">
            <v:group id="_x0000_s139" style="position:absolute;left:0;top:0;width:19200;height:1520;" filled="false" stroked="false" coordsize="19200,1520" coordorigin="0,0">
              <v:shape id="_x0000_s140" style="position:absolute;left:0;top:0;width:19200;height:1380;" fillcolor="#00B0F0" filled="true" stroked="false" coordsize="19200,1380" coordorigin="0,0" path="m,l19200,0l19200,1380l0,1380l0,0xe"/>
              <v:shape id="_x0000_s141" style="position:absolute;left:0;top:1369;width:11815;height:150;" fillcolor="#E5AA57" filled="true" stroked="false" coordsize="11815,150" coordorigin="0,0" path="m,l11747,10l11815,150l0,150l0,0e"/>
              <v:shape id="_x0000_s142" style="position:absolute;left:11835;top:1369;width:7365;height:150;" fillcolor="#00B0F0" filled="true" stroked="false" coordsize="7365,150" coordorigin="0,0" path="m,l7365,0l7365,150l90,150l0,0e"/>
            </v:group>
            <v:shape id="_x0000_s143" style="position:absolute;left:10654;top:257;width:7782;height:1179;" filled="false" stroked="false" type="#_x0000_t75">
              <v:imagedata r:id="rId11"/>
            </v:shape>
            <v:shape id="_x0000_s144" style="position:absolute;left:1667;top:362;width:7240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0"/>
                      </w:rPr>
                      <w:t>第三部分：服务业相关政策</w:t>
                    </w:r>
                  </w:p>
                </w:txbxContent>
              </v:textbox>
            </v:shape>
            <v:shape id="_x0000_s145" style="position:absolute;left:11529;top:482;width:1953;height:6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1" w:line="185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:spacing w:val="8"/>
                      </w:rPr>
                      <w:t>具体内容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63" w:lineRule="exact"/>
        <w:rPr/>
      </w:pPr>
      <w:r/>
    </w:p>
    <w:tbl>
      <w:tblPr>
        <w:tblStyle w:val="2"/>
        <w:tblW w:w="17967" w:type="dxa"/>
        <w:tblInd w:w="81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7967"/>
      </w:tblGrid>
      <w:tr>
        <w:trPr>
          <w:trHeight w:val="5102" w:hRule="atLeast"/>
        </w:trPr>
        <w:tc>
          <w:tcPr>
            <w:tcW w:w="17967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370" w:right="1075" w:firstLine="771"/>
              <w:spacing w:before="172" w:line="223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九、加强用地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保障。每年评定一批市级现代服务业重大项目(规上现代服务业企业新上投资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5000万元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以上项目)，对项目用地给予重点协调关注。</w:t>
            </w:r>
          </w:p>
          <w:p>
            <w:pPr>
              <w:ind w:left="341" w:right="409" w:firstLine="804"/>
              <w:spacing w:before="2" w:line="216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十、加大考核力度。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参照上级考核细则，将“现代服务业增加值及增速”“规上服务业企业新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增数量”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“规上服务业企业户数增幅”(以上年度户数为基数)等服务业经济指标纳入对市直行业主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4"/>
              </w:rPr>
              <w:t>管部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门、各县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(市、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区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2"/>
              </w:rPr>
              <w:t>及市属开发区的年度绩效考核。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spacing w:line="1518" w:lineRule="exact"/>
        <w:textAlignment w:val="center"/>
        <w:rPr/>
      </w:pPr>
      <w:r>
        <w:pict>
          <v:rect id="_x0000_s146" style="position:absolute;margin-left:0pt;margin-top:532.2pt;mso-position-vertical-relative:page;mso-position-horizontal-relative:page;width:960pt;height:7.8pt;z-index:251766784;" o:allowincell="f" fillcolor="#5B9BD5" filled="true" stroked="false"/>
        </w:pict>
      </w:r>
      <w:r>
        <w:pict>
          <v:group id="_x0000_s147" style="mso-position-vertical-relative:line;mso-position-horizontal-relative:char;width:960pt;height:76pt;" filled="false" stroked="false" coordsize="19200,1520" coordorigin="0,0">
            <v:group id="_x0000_s148" style="position:absolute;left:0;top:0;width:19200;height:1520;" filled="false" stroked="false" coordsize="19200,1520" coordorigin="0,0">
              <v:shape id="_x0000_s149" style="position:absolute;left:0;top:0;width:19200;height:1380;" fillcolor="#00B0F0" filled="true" stroked="false" coordsize="19200,1380" coordorigin="0,0" path="m,l19200,0l19200,1380l0,1380l0,0xe"/>
              <v:shape id="_x0000_s150" style="position:absolute;left:0;top:1369;width:11815;height:150;" fillcolor="#E5AA57" filled="true" stroked="false" coordsize="11815,150" coordorigin="0,0" path="m,l11747,10l11815,150l0,150l0,0e"/>
              <v:shape id="_x0000_s151" style="position:absolute;left:11835;top:1369;width:7365;height:150;" fillcolor="#00B0F0" filled="true" stroked="false" coordsize="7365,150" coordorigin="0,0" path="m,l7365,0l7365,150l90,150l0,0e"/>
            </v:group>
            <v:shape id="_x0000_s152" style="position:absolute;left:10654;top:257;width:7782;height:1179;" filled="false" stroked="false" type="#_x0000_t75">
              <v:imagedata r:id="rId11"/>
            </v:shape>
            <v:shape id="_x0000_s153" style="position:absolute;left:1667;top:362;width:7240;height:9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233" w:lineRule="auto"/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55"/>
                        <w:szCs w:val="55"/>
                        <w:color w:val="FFFFFF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spacing w:val="50"/>
                      </w:rPr>
                      <w:t>第三部分：服务业相关政策</w:t>
                    </w:r>
                  </w:p>
                </w:txbxContent>
              </v:textbox>
            </v:shape>
            <v:shape id="_x0000_s154" style="position:absolute;left:11531;top:478;width:1951;height:66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8" w:line="187" w:lineRule="auto"/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:spacing w:val="9"/>
                      </w:rPr>
                      <w:t>兑</w:t>
                    </w:r>
                    <w:r>
                      <w:rPr>
                        <w:rFonts w:ascii="Microsoft YaHei" w:hAnsi="Microsoft YaHei" w:eastAsia="Microsoft YaHei" w:cs="Microsoft YaHei"/>
                        <w:sz w:val="47"/>
                        <w:szCs w:val="47"/>
                        <w:color w:val="FFFFFF"/>
                        <w:spacing w:val="7"/>
                      </w:rPr>
                      <w:t>现程序</w:t>
                    </w:r>
                  </w:p>
                </w:txbxContent>
              </v:textbox>
            </v:shape>
          </v:group>
        </w:pic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63" w:lineRule="exact"/>
        <w:rPr/>
      </w:pPr>
      <w:r/>
    </w:p>
    <w:tbl>
      <w:tblPr>
        <w:tblStyle w:val="2"/>
        <w:tblW w:w="17967" w:type="dxa"/>
        <w:tblInd w:w="818" w:type="dxa"/>
        <w:tblLayout w:type="fixed"/>
        <w:tblBorders>
          <w:left w:val="single" w:color="0CA399" w:sz="8" w:space="0"/>
          <w:bottom w:val="single" w:color="0CA399" w:sz="8" w:space="0"/>
          <w:right w:val="single" w:color="0CA399" w:sz="8" w:space="0"/>
          <w:top w:val="single" w:color="0CA399" w:sz="8" w:space="0"/>
        </w:tblBorders>
      </w:tblPr>
      <w:tblGrid>
        <w:gridCol w:w="17967"/>
      </w:tblGrid>
      <w:tr>
        <w:trPr>
          <w:trHeight w:val="5102" w:hRule="atLeast"/>
        </w:trPr>
        <w:tc>
          <w:tcPr>
            <w:tcW w:w="1796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left="339" w:right="243" w:firstLine="832"/>
              <w:spacing w:before="172" w:line="203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1.申请市级奖励资金的单位或个人，每年3月底前向市发展改革委提报有关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证明材料及企业法人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6"/>
              </w:rPr>
              <w:t>个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4"/>
              </w:rPr>
              <w:t>人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征信报告等；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每年4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月底前，市发展改革委审查后，征求市行业主管部门意见，向社会公示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3"/>
              </w:rPr>
              <w:t>，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会同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>市财政局确定奖励名单；每年5月底前，由市财政局将奖励资金拨付给符合奖励条件的单位及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-1"/>
              </w:rPr>
              <w:t>个人。</w:t>
            </w:r>
          </w:p>
          <w:p>
            <w:pPr>
              <w:ind w:left="1157"/>
              <w:spacing w:line="221" w:lineRule="auto"/>
              <w:rPr>
                <w:rFonts w:ascii="Microsoft YaHei" w:hAnsi="Microsoft YaHei" w:eastAsia="Microsoft YaHei" w:cs="Microsoft YaHei"/>
                <w:sz w:val="40"/>
                <w:szCs w:val="40"/>
              </w:rPr>
            </w:pP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4"/>
              </w:rPr>
              <w:t>2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10"/>
              </w:rPr>
              <w:t>.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7"/>
              </w:rPr>
              <w:t>县级奖励资金拨付办法由县级政府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7"/>
              </w:rPr>
              <w:t>(市属开发区管委会)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40"/>
                <w:szCs w:val="40"/>
                <w:spacing w:val="7"/>
              </w:rPr>
              <w:t>参照市级自行制定。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1" w:right="0" w:bottom="400" w:left="0" w:header="0" w:footer="0" w:gutter="0"/>
        </w:sectPr>
        <w:rPr/>
      </w:pPr>
    </w:p>
    <w:p>
      <w:pPr>
        <w:ind w:firstLine="12683"/>
        <w:spacing w:line="6260" w:lineRule="exact"/>
        <w:textAlignment w:val="center"/>
        <w:rPr/>
      </w:pPr>
      <w:r>
        <w:pict>
          <v:shape id="_x0000_s155" style="position:absolute;margin-left:321.236pt;margin-top:148.744pt;mso-position-vertical-relative:page;mso-position-horizontal-relative:page;width:289.1pt;height:96.2pt;z-index:251771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2" w:line="184" w:lineRule="auto"/>
                    <w:rPr>
                      <w:rFonts w:ascii="Microsoft YaHei" w:hAnsi="Microsoft YaHei" w:eastAsia="Microsoft YaHei" w:cs="Microsoft YaHei"/>
                      <w:sz w:val="143"/>
                      <w:szCs w:val="143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43"/>
                      <w:szCs w:val="143"/>
                      <w:color w:val="FFFFFF"/>
                      <w14:textOutline w14:w="190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6"/>
                    </w:rPr>
                    <w:t>汇</w:t>
                  </w:r>
                  <w:r>
                    <w:rPr>
                      <w:rFonts w:ascii="Microsoft YaHei" w:hAnsi="Microsoft YaHei" w:eastAsia="Microsoft YaHei" w:cs="Microsoft YaHei"/>
                      <w:sz w:val="143"/>
                      <w:szCs w:val="143"/>
                      <w:color w:val="FFFFFF"/>
                      <w14:textOutline w14:w="19050" w14:cap="flat" w14:cmpd="sng">
                        <w14:solidFill>
                          <w14:srgbClr w14:val="FFFFFF"/>
                        </w14:solidFill>
                        <w14:prstDash w14:val="solid"/>
                        <w14:miter w14:lim="0"/>
                      </w14:textOutline>
                      <w:spacing w:val="5"/>
                    </w:rPr>
                    <w:t>报完毕</w:t>
                  </w:r>
                </w:p>
              </w:txbxContent>
            </v:textbox>
          </v:shape>
        </w:pict>
      </w:r>
      <w:r>
        <w:pict>
          <v:group id="_x0000_s156" style="mso-position-vertical-relative:line;mso-position-horizontal-relative:char;width:325.85pt;height:313.1pt;" filled="false" stroked="false" coordsize="6517,6262" coordorigin="0,0">
            <v:shape id="_x0000_s157" style="position:absolute;left:0;top:0;width:6517;height:6262;" filled="false" stroked="false" type="#_x0000_t75">
              <v:imagedata r:id="rId34"/>
            </v:shape>
            <v:shape id="_x0000_s158" style="position:absolute;left:-20;top:-20;width:6557;height:694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12"/>
                      <w:spacing w:before="613" w:line="2539" w:lineRule="exact"/>
                      <w:rPr>
                        <w:rFonts w:ascii="Microsoft YaHei" w:hAnsi="Microsoft YaHei" w:eastAsia="Microsoft YaHei" w:cs="Microsoft YaHei"/>
                        <w:sz w:val="143"/>
                        <w:szCs w:val="143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43"/>
                        <w:szCs w:val="143"/>
                        <w:color w:val="FFFFFF"/>
                        <w14:textOutline w14:w="19050" w14:cap="flat" w14:cmpd="sng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:position w:val="23"/>
                      </w:rPr>
                      <w:t>！</w:t>
                    </w:r>
                  </w:p>
                </w:txbxContent>
              </v:textbox>
            </v:shape>
          </v:group>
        </w:pict>
      </w:r>
    </w:p>
    <w:sectPr>
      <w:headerReference w:type="default" r:id="rId33"/>
      <w:pgSz w:w="19200" w:h="10800"/>
      <w:pgMar w:top="1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594359</wp:posOffset>
          </wp:positionV>
          <wp:extent cx="12192000" cy="5366003"/>
          <wp:effectExtent l="0" t="0" r="0" b="0"/>
          <wp:wrapNone/>
          <wp:docPr id="1" name="IM 1"/>
          <wp:cNvGraphicFramePr/>
          <a:graphic>
            <a:graphicData uri="http://schemas.openxmlformats.org/drawingml/2006/picture">
              <pic:pic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2000" cy="5366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619759</wp:posOffset>
          </wp:positionH>
          <wp:positionV relativeFrom="page">
            <wp:posOffset>1007109</wp:posOffset>
          </wp:positionV>
          <wp:extent cx="11068684" cy="5542915"/>
          <wp:effectExtent l="0" t="0" r="0" b="0"/>
          <wp:wrapNone/>
          <wp:docPr id="9" name="IM 9"/>
          <wp:cNvGraphicFramePr/>
          <a:graphic>
            <a:graphicData uri="http://schemas.openxmlformats.org/drawingml/2006/picture">
              <pic:pic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068684" cy="554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29" name="IM 29"/>
          <wp:cNvGraphicFramePr/>
          <a:graphic>
            <a:graphicData uri="http://schemas.openxmlformats.org/drawingml/2006/picture">
              <pic:pic>
                <pic:nvPicPr>
                  <pic:cNvPr id="29" name="IM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jpeg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37" Type="http://schemas.openxmlformats.org/officeDocument/2006/relationships/fontTable" Target="fontTable.xml"/><Relationship Id="rId36" Type="http://schemas.openxmlformats.org/officeDocument/2006/relationships/styles" Target="styles.xml"/><Relationship Id="rId35" Type="http://schemas.openxmlformats.org/officeDocument/2006/relationships/settings" Target="settings.xml"/><Relationship Id="rId34" Type="http://schemas.openxmlformats.org/officeDocument/2006/relationships/image" Target="media/image32.png"/><Relationship Id="rId33" Type="http://schemas.openxmlformats.org/officeDocument/2006/relationships/header" Target="header4.xml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2.xml"/><Relationship Id="rId29" Type="http://schemas.openxmlformats.org/officeDocument/2006/relationships/image" Target="media/image27.jpe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jpe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2.png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footer" Target="footer1.xml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jpe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header" Target="header3.xml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演示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2023-06-26T16:09:22Z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2023-06-26T16:47:56</vt:filetime>
  </op:property>
</op:Properties>
</file>