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w:pict>
          <v:rect id="_x0000_s1" style="position:absolute;margin-left:267pt;margin-top:407.463pt;mso-position-vertical-relative:page;mso-position-horizontal-relative:page;width:94.4pt;height:1.5pt;z-index:251658240;" o:allowincell="f" fillcolor="#FFFFFF" filled="true" stroked="false"/>
        </w:pict>
      </w:r>
      <w:r>
        <w:pict>
          <v:rect id="_x0000_s2" style="position:absolute;margin-left:606.4pt;margin-top:409.008pt;mso-position-vertical-relative:page;mso-position-horizontal-relative:page;width:85.3pt;height:1.5pt;z-index:251659264;" o:allowincell="f" fillcolor="#FFFFFF" filled="true" stroked="false"/>
        </w:pict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3349"/>
        <w:spacing w:line="1652" w:lineRule="exact"/>
        <w:textAlignment w:val="center"/>
        <w:rPr/>
      </w:pPr>
      <w:r>
        <w:drawing>
          <wp:inline distT="0" distB="0" distL="0" distR="0">
            <wp:extent cx="8109534" cy="104913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09534" cy="10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27" w:lineRule="exact"/>
        <w:rPr/>
      </w:pPr>
      <w:r/>
    </w:p>
    <w:tbl>
      <w:tblPr>
        <w:tblStyle w:val="2"/>
        <w:tblW w:w="4910" w:type="dxa"/>
        <w:tblInd w:w="7222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4910"/>
      </w:tblGrid>
      <w:tr>
        <w:trPr>
          <w:trHeight w:val="1901" w:hRule="atLeast"/>
        </w:trPr>
        <w:tc>
          <w:tcPr>
            <w:shd w:val="clear" w:fill="FFFFFF"/>
            <w:tcW w:w="491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769"/>
              <w:spacing w:before="236" w:line="186" w:lineRule="auto"/>
              <w:rPr>
                <w:rFonts w:ascii="Microsoft YaHei" w:hAnsi="Microsoft YaHei" w:eastAsia="Microsoft YaHei" w:cs="Microsoft YaHei"/>
                <w:sz w:val="55"/>
                <w:szCs w:val="55"/>
              </w:rPr>
            </w:pPr>
            <w:r>
              <w:rPr>
                <w:rFonts w:ascii="Microsoft YaHei" w:hAnsi="Microsoft YaHei" w:eastAsia="Microsoft YaHei" w:cs="Microsoft YaHei"/>
                <w:sz w:val="55"/>
                <w:szCs w:val="55"/>
                <w:color w:val="FFFFFF"/>
                <w:spacing w:val="9"/>
              </w:rPr>
              <w:t>聊城市商务</w:t>
            </w:r>
            <w:r>
              <w:rPr>
                <w:rFonts w:ascii="Microsoft YaHei" w:hAnsi="Microsoft YaHei" w:eastAsia="Microsoft YaHei" w:cs="Microsoft YaHei"/>
                <w:sz w:val="55"/>
                <w:szCs w:val="55"/>
                <w:color w:val="FFFFFF"/>
                <w:spacing w:val="8"/>
              </w:rPr>
              <w:t>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pgSz w:w="19197" w:h="10802"/>
          <w:pgMar w:top="400" w:right="0" w:bottom="0" w:left="0" w:header="0" w:footer="0" w:gutter="0"/>
        </w:sectPr>
        <w:rPr/>
      </w:pPr>
    </w:p>
    <w:p>
      <w:pPr>
        <w:ind w:firstLine="6658"/>
        <w:spacing w:before="71" w:line="1184" w:lineRule="exact"/>
        <w:textAlignment w:val="center"/>
        <w:rPr/>
      </w:pPr>
      <w:r>
        <w:pict>
          <v:group id="_x0000_s3" style="mso-position-vertical-relative:line;mso-position-horizontal-relative:char;width:295.65pt;height:59.25pt;" filled="false" stroked="false" coordsize="5912,1185" coordorigin="0,0">
            <v:rect id="_x0000_s4" style="position:absolute;left:1314;top:0;width:3412;height:1185;" fillcolor="#FFBF53" filled="true" stroked="false"/>
            <v:shape id="_x0000_s5" style="position:absolute;left:3166;top:303;width:640;height:617;" filled="false" stroked="false" type="#_x0000_t75">
              <v:imagedata r:id="rId4"/>
            </v:shape>
            <v:shape id="_x0000_s6" style="position:absolute;left:2328;top:315;width:529;height:602;" filled="false" stroked="false" type="#_x0000_t75">
              <v:imagedata r:id="rId5"/>
            </v:shape>
            <v:rect id="_x0000_s7" style="position:absolute;left:0;top:576;width:1315;height:30;" fillcolor="#FFFFFF" filled="true" stroked="false"/>
            <v:rect id="_x0000_s8" style="position:absolute;left:4725;top:576;width:1188;height:30;" fillcolor="#FFFFFF" filled="true" stroked="false"/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ectPr>
          <w:headerReference w:type="default" r:id="rId3"/>
          <w:pgSz w:w="19197" w:h="10802"/>
          <w:pgMar w:top="400" w:right="0" w:bottom="0" w:left="0" w:header="0" w:footer="0" w:gutter="0"/>
          <w:cols w:equalWidth="0" w:num="1">
            <w:col w:w="19197" w:space="0"/>
          </w:cols>
        </w:sectPr>
        <w:rPr/>
      </w:pPr>
    </w:p>
    <w:p>
      <w:pPr>
        <w:ind w:firstLine="2604"/>
        <w:spacing w:line="518" w:lineRule="exact"/>
        <w:textAlignment w:val="center"/>
        <w:rPr/>
      </w:pPr>
      <w:r>
        <w:drawing>
          <wp:inline distT="0" distB="0" distL="0" distR="0">
            <wp:extent cx="353834" cy="32861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83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60" w:lineRule="exact"/>
        <w:textAlignment w:val="center"/>
        <w:rPr/>
      </w:pPr>
      <w:r>
        <w:drawing>
          <wp:inline distT="0" distB="0" distL="0" distR="0">
            <wp:extent cx="1561541" cy="292658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1541" cy="2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"/>
        <w:spacing w:before="273" w:line="221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color w:val="FFFFFF"/>
          <w:spacing w:val="-4"/>
        </w:rPr>
        <w:t>开拓国</w:t>
      </w:r>
      <w:r>
        <w:rPr>
          <w:rFonts w:ascii="SimHei" w:hAnsi="SimHei" w:eastAsia="SimHei" w:cs="SimHei"/>
          <w:sz w:val="40"/>
          <w:szCs w:val="40"/>
          <w:color w:val="FFFFFF"/>
          <w:spacing w:val="-2"/>
        </w:rPr>
        <w:t>际市场方向</w:t>
      </w:r>
    </w:p>
    <w:p>
      <w:pPr>
        <w:ind w:left="28"/>
        <w:spacing w:before="241" w:line="221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color w:val="FFFFFF"/>
          <w:spacing w:val="-4"/>
        </w:rPr>
        <w:t>鼓</w:t>
      </w:r>
      <w:r>
        <w:rPr>
          <w:rFonts w:ascii="SimHei" w:hAnsi="SimHei" w:eastAsia="SimHei" w:cs="SimHei"/>
          <w:sz w:val="40"/>
          <w:szCs w:val="40"/>
          <w:color w:val="FFFFFF"/>
          <w:spacing w:val="-2"/>
        </w:rPr>
        <w:t>励进口方向</w:t>
      </w:r>
    </w:p>
    <w:p>
      <w:pPr>
        <w:ind w:left="42"/>
        <w:spacing w:before="240" w:line="720" w:lineRule="exact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color w:val="FFFFFF"/>
          <w:spacing w:val="-4"/>
          <w:position w:val="23"/>
        </w:rPr>
        <w:t>支持</w:t>
      </w:r>
      <w:r>
        <w:rPr>
          <w:rFonts w:ascii="SimHei" w:hAnsi="SimHei" w:eastAsia="SimHei" w:cs="SimHei"/>
          <w:sz w:val="40"/>
          <w:szCs w:val="40"/>
          <w:color w:val="FFFFFF"/>
          <w:spacing w:val="-2"/>
          <w:position w:val="23"/>
        </w:rPr>
        <w:t>投保出口信用保险方向</w:t>
      </w:r>
    </w:p>
    <w:p>
      <w:pPr>
        <w:ind w:left="27"/>
        <w:spacing w:before="2" w:line="187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color w:val="FFFFFF"/>
          <w:spacing w:val="-2"/>
        </w:rPr>
        <w:t>对外开放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强县方向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0" w:line="547" w:lineRule="exact"/>
        <w:textAlignment w:val="center"/>
        <w:rPr/>
      </w:pPr>
      <w:r>
        <w:drawing>
          <wp:inline distT="0" distB="0" distL="0" distR="0">
            <wp:extent cx="353694" cy="34734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694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3" w:line="421" w:lineRule="exact"/>
        <w:textAlignment w:val="center"/>
        <w:rPr/>
      </w:pPr>
      <w:r>
        <w:drawing>
          <wp:inline distT="0" distB="0" distL="0" distR="0">
            <wp:extent cx="1409331" cy="267220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331" cy="2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"/>
        <w:spacing w:before="243" w:line="228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color w:val="FFFFFF"/>
          <w:spacing w:val="5"/>
        </w:rPr>
        <w:t>鲁贸贷</w:t>
      </w:r>
    </w:p>
    <w:p>
      <w:pPr>
        <w:ind w:left="32"/>
        <w:spacing w:before="215" w:line="228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color w:val="FFFFFF"/>
          <w:spacing w:val="9"/>
        </w:rPr>
        <w:t>齐</w:t>
      </w:r>
      <w:r>
        <w:rPr>
          <w:rFonts w:ascii="SimHei" w:hAnsi="SimHei" w:eastAsia="SimHei" w:cs="SimHei"/>
          <w:sz w:val="35"/>
          <w:szCs w:val="35"/>
          <w:color w:val="FFFFFF"/>
          <w:spacing w:val="6"/>
        </w:rPr>
        <w:t>鲁进口贷</w:t>
      </w:r>
    </w:p>
    <w:p>
      <w:pPr>
        <w:ind w:left="26"/>
        <w:spacing w:before="217" w:line="226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color w:val="FFFFFF"/>
          <w:spacing w:val="11"/>
        </w:rPr>
        <w:t>外</w:t>
      </w:r>
      <w:r>
        <w:rPr>
          <w:rFonts w:ascii="SimHei" w:hAnsi="SimHei" w:eastAsia="SimHei" w:cs="SimHei"/>
          <w:sz w:val="35"/>
          <w:szCs w:val="35"/>
          <w:color w:val="FFFFFF"/>
          <w:spacing w:val="9"/>
        </w:rPr>
        <w:t>贸企业汇率避险增信服务试点</w:t>
      </w:r>
    </w:p>
    <w:p>
      <w:pPr>
        <w:sectPr>
          <w:type w:val="continuous"/>
          <w:pgSz w:w="19197" w:h="10802"/>
          <w:pgMar w:top="400" w:right="0" w:bottom="0" w:left="0" w:header="0" w:footer="0" w:gutter="0"/>
          <w:cols w:equalWidth="0" w:num="4">
            <w:col w:w="3336" w:space="100"/>
            <w:col w:w="6863" w:space="100"/>
            <w:col w:w="720" w:space="18"/>
            <w:col w:w="8061" w:space="0"/>
          </w:cols>
        </w:sectPr>
        <w:rPr/>
      </w:pPr>
    </w:p>
    <w:p>
      <w:pPr>
        <w:spacing w:line="10799" w:lineRule="exact"/>
        <w:textAlignment w:val="center"/>
        <w:rPr/>
      </w:pPr>
      <w:r>
        <w:drawing>
          <wp:inline distT="0" distB="0" distL="0" distR="0">
            <wp:extent cx="12190094" cy="6857517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0094" cy="68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0"/>
          <w:footerReference w:type="default" r:id="rId11"/>
          <w:pgSz w:w="19197" w:h="10802"/>
          <w:pgMar w:top="1" w:right="0" w:bottom="1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9" style="position:absolute;margin-left:0pt;margin-top:19.8pt;mso-position-vertical-relative:page;mso-position-horizontal-relative:page;width:25.35pt;height:64.7pt;z-index:251664384;" o:allowincell="f" fillcolor="#FFFFFF" filled="true" stroked="false"/>
        </w:pict>
      </w:r>
      <w:r>
        <w:pict>
          <v:rect id="_x0000_s10" style="position:absolute;margin-left:0pt;margin-top:80.88pt;mso-position-vertical-relative:page;mso-position-horizontal-relative:page;width:959.85pt;height:3.65pt;z-index:251665408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3349"/>
        <w:spacing w:before="153" w:line="225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24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一)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支持利用境外展平台多元开拓国际市场项目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(省级)</w:t>
      </w:r>
    </w:p>
    <w:p>
      <w:pPr>
        <w:ind w:left="1388" w:right="1502" w:firstLine="1927"/>
        <w:spacing w:before="299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省商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务厅主办10个展会，包括第9届山东品牌农产品东京展、第25届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中国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>山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东出口商品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(日本大阪)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展览会暨山东文化贸易展览会、2023中国机电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产品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(新加坡)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品牌展览会暨中国山东机电产品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(新加坡)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展览会、德国汉诺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威工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>业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博览会暨中国山东机电产品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(德国)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展览会、中国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(山东)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品牌产品中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东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欧展览会暨山东文化贸易展览会、中国纺织品服装贸易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(纽约)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展览会暨中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国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山东纺织服装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(美国)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展览会、坦桑尼亚</w:t>
      </w:r>
      <w:r>
        <w:rPr>
          <w:rFonts w:ascii="SimHei" w:hAnsi="SimHei" w:eastAsia="SimHei" w:cs="SimHei"/>
          <w:sz w:val="47"/>
          <w:szCs w:val="47"/>
          <w:color w:val="FFFFFF"/>
        </w:rPr>
        <w:t>SabaSaba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展会、美国拉斯维加斯国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际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汽车零部件及售后服务展览会暨中国山东机电产品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(美国)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展览会、中国山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东出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>口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商品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(尼日利亚)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展览会、中国山东出口商品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(俄罗斯)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展览会。对这</w:t>
      </w:r>
    </w:p>
    <w:p>
      <w:pPr>
        <w:ind w:left="1417"/>
        <w:spacing w:line="191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10个展会，企业参展的展位费、展位搭建、展品运输等给予展前补贴。</w:t>
      </w:r>
    </w:p>
    <w:p>
      <w:pPr>
        <w:sectPr>
          <w:headerReference w:type="default" r:id="rId13"/>
          <w:pgSz w:w="19197" w:h="10802"/>
          <w:pgMar w:top="400" w:right="0" w:bottom="210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11" style="position:absolute;margin-left:0pt;margin-top:19.8pt;mso-position-vertical-relative:page;mso-position-horizontal-relative:page;width:25.35pt;height:64.7pt;z-index:251666432;" o:allowincell="f" fillcolor="#FFFFFF" filled="true" stroked="false"/>
        </w:pict>
      </w:r>
      <w:r>
        <w:pict>
          <v:rect id="_x0000_s12" style="position:absolute;margin-left:0pt;margin-top:80.88pt;mso-position-vertical-relative:page;mso-position-horizontal-relative:page;width:959.85pt;height:3.65pt;z-index:251667456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2689" w:right="3082" w:firstLine="1960"/>
        <w:spacing w:before="152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32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二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)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支持利用境外展会平台线上线下多元开拓国际市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场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项目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(市级)</w:t>
      </w:r>
    </w:p>
    <w:p>
      <w:pPr>
        <w:ind w:left="2689" w:right="3081" w:firstLine="1931"/>
        <w:spacing w:before="6" w:line="345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用于对2023年境外百展计划中聊城市组织的20个重点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类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展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>会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给予支持，对企业参展发生的展位费、展位搭建、展品运输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等</w:t>
      </w:r>
      <w:r>
        <w:rPr>
          <w:rFonts w:ascii="SimHei" w:hAnsi="SimHei" w:eastAsia="SimHei" w:cs="SimHei"/>
          <w:sz w:val="47"/>
          <w:szCs w:val="47"/>
          <w:color w:val="FFFFFF"/>
          <w:spacing w:val="6"/>
        </w:rPr>
        <w:t>给予展后80%补贴。</w:t>
      </w:r>
    </w:p>
    <w:p>
      <w:pPr>
        <w:sectPr>
          <w:headerReference w:type="default" r:id="rId14"/>
          <w:pgSz w:w="19197" w:h="10802"/>
          <w:pgMar w:top="400" w:right="0" w:bottom="400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13" style="position:absolute;margin-left:0pt;margin-top:19.8pt;mso-position-vertical-relative:page;mso-position-horizontal-relative:page;width:25.35pt;height:64.7pt;z-index:251668480;" o:allowincell="f" fillcolor="#FFFFFF" filled="true" stroked="false"/>
        </w:pict>
      </w:r>
      <w:r>
        <w:pict>
          <v:rect id="_x0000_s14" style="position:absolute;margin-left:0pt;margin-top:80.88pt;mso-position-vertical-relative:page;mso-position-horizontal-relative:page;width:959.85pt;height:3.65pt;z-index:251669504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3259"/>
        <w:spacing w:before="152" w:line="22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26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三)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外贸中小企业开拓国际市场项目</w:t>
      </w:r>
    </w:p>
    <w:p>
      <w:pPr>
        <w:ind w:left="1298" w:right="877" w:firstLine="1931"/>
        <w:spacing w:before="289" w:line="343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主要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用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于对全省进出口额低于6500万美元的外贸中小企业开展的境外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专利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申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请，商标注册及资质认证、参加国际性展会费用给予支持。资金支持比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 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例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原则上不超过项目支持内容实际支出的50％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。加大对新兴市场、“一带一路”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沿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线国家、</w:t>
      </w:r>
      <w:r>
        <w:rPr>
          <w:rFonts w:ascii="SimHei" w:hAnsi="SimHei" w:eastAsia="SimHei" w:cs="SimHei"/>
          <w:sz w:val="47"/>
          <w:szCs w:val="47"/>
          <w:color w:val="FFFFFF"/>
        </w:rPr>
        <w:t>RCEP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国家、机电产品和高技术产品项目的支持力度，资金支持比例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最高不超过项目支持内容实际支出的80%。单一企业项目支持金额最高不超过1</w:t>
      </w:r>
      <w:r>
        <w:rPr>
          <w:rFonts w:ascii="SimHei" w:hAnsi="SimHei" w:eastAsia="SimHei" w:cs="SimHei"/>
          <w:sz w:val="47"/>
          <w:szCs w:val="47"/>
          <w:color w:val="FFFFFF"/>
          <w:spacing w:val="6"/>
        </w:rPr>
        <w:t>0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万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元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，单个企业当年累计获得补助最高不超过50万元。</w:t>
      </w:r>
    </w:p>
    <w:p>
      <w:pPr>
        <w:sectPr>
          <w:headerReference w:type="default" r:id="rId15"/>
          <w:pgSz w:w="19197" w:h="10802"/>
          <w:pgMar w:top="400" w:right="0" w:bottom="400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15" style="position:absolute;margin-left:0pt;margin-top:19.8pt;mso-position-vertical-relative:page;mso-position-horizontal-relative:page;width:25.35pt;height:64.7pt;z-index:251670528;" o:allowincell="f" fillcolor="#FFFFFF" filled="true" stroked="false"/>
        </w:pict>
      </w:r>
      <w:r>
        <w:pict>
          <v:rect id="_x0000_s16" style="position:absolute;margin-left:0pt;margin-top:80.88pt;mso-position-vertical-relative:page;mso-position-horizontal-relative:page;width:959.85pt;height:3.65pt;z-index:251671552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3229"/>
        <w:spacing w:before="153" w:line="22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32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7"/>
        </w:rPr>
        <w:t>四)</w:t>
      </w:r>
      <w:r>
        <w:rPr>
          <w:rFonts w:ascii="SimHei" w:hAnsi="SimHei" w:eastAsia="SimHei" w:cs="SimHei"/>
          <w:sz w:val="47"/>
          <w:szCs w:val="47"/>
          <w:color w:val="FFFFFF"/>
          <w:spacing w:val="17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7"/>
        </w:rPr>
        <w:t>支持企业参展境内国际性经济技术展览会</w:t>
      </w:r>
    </w:p>
    <w:p>
      <w:pPr>
        <w:ind w:left="1270" w:right="1209" w:firstLine="1936"/>
        <w:spacing w:before="294" w:line="342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支持企业立足内外贸一体化发展要求，用好境内举办的国际性展会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平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"/>
        </w:rPr>
        <w:t>台，促进内外销产品“同线同标同质”</w:t>
      </w:r>
      <w:r>
        <w:rPr>
          <w:rFonts w:ascii="SimHei" w:hAnsi="SimHei" w:eastAsia="SimHei" w:cs="SimHei"/>
          <w:sz w:val="47"/>
          <w:szCs w:val="47"/>
          <w:color w:val="FFFFFF"/>
          <w:spacing w:val="1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"/>
        </w:rPr>
        <w:t>，提升企业一体化市场开拓和</w:t>
      </w:r>
      <w:r>
        <w:rPr>
          <w:rFonts w:ascii="SimHei" w:hAnsi="SimHei" w:eastAsia="SimHei" w:cs="SimHei"/>
          <w:sz w:val="47"/>
          <w:szCs w:val="47"/>
          <w:color w:val="FFFFFF"/>
        </w:rPr>
        <w:t>经营能力。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今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年有10个展：2023年华交会、第133届广交会、北方消费品博览会、第134届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广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交会、2023中国国际高新技术成果交易会、2023中国国际健康产品展览会、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上海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国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际尚品家居及室内装饰展览会、2023年世界食品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(深圳)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博览会、中国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跨境电商交易会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(秋季)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、2023西雅国际食品展览会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(上海)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,对企业参展的场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地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租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赁、展位搭建、宣传推介等项目给予支持。</w:t>
      </w:r>
    </w:p>
    <w:p>
      <w:pPr>
        <w:sectPr>
          <w:headerReference w:type="default" r:id="rId16"/>
          <w:pgSz w:w="19197" w:h="10802"/>
          <w:pgMar w:top="400" w:right="0" w:bottom="400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17" style="position:absolute;margin-left:0pt;margin-top:19.8pt;mso-position-vertical-relative:page;mso-position-horizontal-relative:page;width:25.35pt;height:64.7pt;z-index:-251643904;" o:allowincell="f" fillcolor="#FFFFFF" filled="true" stroked="false"/>
        </w:pict>
      </w:r>
      <w:r>
        <w:pict>
          <v:rect id="_x0000_s18" style="position:absolute;margin-left:0pt;margin-top:80.88pt;mso-position-vertical-relative:page;mso-position-horizontal-relative:page;width:959.85pt;height:3.65pt;z-index:-251642880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ind w:left="4793" w:right="2926" w:hanging="227"/>
        <w:spacing w:before="153" w:line="294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五)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支持鼓励扩大先进设备、技术进口项目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      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1.对以一般贸易方式、边境贸易方式进口列入国家发</w:t>
      </w:r>
      <w:r>
        <w:rPr>
          <w:rFonts w:ascii="SimHei" w:hAnsi="SimHei" w:eastAsia="SimHei" w:cs="SimHei"/>
          <w:sz w:val="47"/>
          <w:szCs w:val="47"/>
          <w:color w:val="FFFFFF"/>
          <w:spacing w:val="4"/>
        </w:rPr>
        <w:t>展</w:t>
      </w:r>
    </w:p>
    <w:p>
      <w:pPr>
        <w:ind w:left="2843" w:right="2925" w:firstLine="18"/>
        <w:spacing w:before="233" w:line="339" w:lineRule="auto"/>
        <w:tabs>
          <w:tab w:val="left" w:leader="empty" w:pos="3121"/>
        </w:tabs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改革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委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、财政部、商务部发布的《鼓励进口技术和产品目录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   </w:t>
      </w:r>
      <w:r>
        <w:rPr>
          <w:rFonts w:ascii="SimHei" w:hAnsi="SimHei" w:eastAsia="SimHei" w:cs="SimHei"/>
          <w:sz w:val="47"/>
          <w:szCs w:val="47"/>
          <w:color w:val="FFFFFF"/>
        </w:rPr>
        <w:tab/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(2016年版)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》中的产品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(不含旧品)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，或自非关联企业引进</w:t>
      </w:r>
      <w:r>
        <w:rPr>
          <w:rFonts w:ascii="SimHei" w:hAnsi="SimHei" w:eastAsia="SimHei" w:cs="SimHei"/>
          <w:sz w:val="47"/>
          <w:szCs w:val="47"/>
          <w:color w:val="FFFFFF"/>
        </w:rPr>
        <w:t>列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入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《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目录》中的技术，给予一定的贴息支持。按照商务部有关规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定</w:t>
      </w:r>
      <w:r>
        <w:rPr>
          <w:rFonts w:ascii="SimHei" w:hAnsi="SimHei" w:eastAsia="SimHei" w:cs="SimHei"/>
          <w:sz w:val="47"/>
          <w:szCs w:val="47"/>
          <w:color w:val="FFFFFF"/>
          <w:spacing w:val="4"/>
        </w:rPr>
        <w:t>执行。</w:t>
      </w:r>
    </w:p>
    <w:p>
      <w:pPr>
        <w:ind w:left="2847" w:right="2925" w:firstLine="1918"/>
        <w:spacing w:before="3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2.为加快推进山东省新旧动能转换十强产业发展，扩大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需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要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的先进技术、设备和关键零部件进口，对符合“十强”产业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的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高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新技术、绿色低碳设备及关键部件进口，以不超过申报年度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6月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3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0日前最近一期人民币1年期贷款市场报价利率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</w:t>
      </w:r>
      <w:r>
        <w:rPr>
          <w:rFonts w:ascii="SimHei" w:hAnsi="SimHei" w:eastAsia="SimHei" w:cs="SimHei"/>
          <w:sz w:val="47"/>
          <w:szCs w:val="47"/>
          <w:color w:val="FFFFFF"/>
        </w:rPr>
        <w:t>LPR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作为</w:t>
      </w:r>
    </w:p>
    <w:p>
      <w:pPr>
        <w:ind w:left="2849"/>
        <w:spacing w:line="191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3"/>
        </w:rPr>
        <w:t>贴息率</w:t>
      </w:r>
      <w:r>
        <w:rPr>
          <w:rFonts w:ascii="SimHei" w:hAnsi="SimHei" w:eastAsia="SimHei" w:cs="SimHei"/>
          <w:sz w:val="47"/>
          <w:szCs w:val="47"/>
          <w:color w:val="FFFFFF"/>
          <w:spacing w:val="2"/>
        </w:rPr>
        <w:t>。</w:t>
      </w:r>
    </w:p>
    <w:p>
      <w:pPr>
        <w:sectPr>
          <w:headerReference w:type="default" r:id="rId17"/>
          <w:pgSz w:w="19197" w:h="10802"/>
          <w:pgMar w:top="400" w:right="0" w:bottom="21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19" style="position:absolute;margin-left:0pt;margin-top:19.8pt;mso-position-vertical-relative:page;mso-position-horizontal-relative:page;width:25.35pt;height:64.7pt;z-index:251676672;" o:allowincell="f" fillcolor="#FFFFFF" filled="true" stroked="false"/>
        </w:pict>
      </w:r>
      <w:r>
        <w:pict>
          <v:rect id="_x0000_s20" style="position:absolute;margin-left:0pt;margin-top:80.88pt;mso-position-vertical-relative:page;mso-position-horizontal-relative:page;width:959.85pt;height:3.65pt;z-index:251677696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748"/>
        <w:spacing w:before="153" w:line="22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26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六)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支持企业投保出口信用保险项目</w:t>
      </w:r>
    </w:p>
    <w:p>
      <w:pPr>
        <w:ind w:left="2787" w:right="2024" w:firstLine="1948"/>
        <w:spacing w:before="294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4"/>
        </w:rPr>
        <w:t>1.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支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持上年度出口额500万美元以下的中小微外贸企业免费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在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中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国出口信用保险公司山东分公司、中国人民财产保险股份有限公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司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山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东分公司、中国太平洋财产保险股份有限公司山东分公司、中国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大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地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财产保险股份有限公司山东分公司、中国平安财产保险股份有限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公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司山东分公司等5家保险公司投保。</w:t>
      </w:r>
    </w:p>
    <w:p>
      <w:pPr>
        <w:ind w:left="2797" w:right="2024" w:firstLine="1910"/>
        <w:spacing w:line="34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2.支持其他外贸企业在以上5家保险公司投保的短期出口</w:t>
      </w:r>
      <w:r>
        <w:rPr>
          <w:rFonts w:ascii="SimHei" w:hAnsi="SimHei" w:eastAsia="SimHei" w:cs="SimHei"/>
          <w:sz w:val="47"/>
          <w:szCs w:val="47"/>
          <w:color w:val="FFFFFF"/>
          <w:spacing w:val="6"/>
        </w:rPr>
        <w:t>信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用保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险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(包括出口前附加险)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保费，以及在外贸综合服务平台项下企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业出口信用保险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(包括出口前附加险)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保费给予支持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。</w:t>
      </w:r>
    </w:p>
    <w:p>
      <w:pPr>
        <w:sectPr>
          <w:headerReference w:type="default" r:id="rId18"/>
          <w:pgSz w:w="19197" w:h="10802"/>
          <w:pgMar w:top="400" w:right="0" w:bottom="400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21" style="position:absolute;margin-left:0pt;margin-top:19.8pt;mso-position-vertical-relative:page;mso-position-horizontal-relative:page;width:25.35pt;height:64.7pt;z-index:251678720;" o:allowincell="f" fillcolor="#FFFFFF" filled="true" stroked="false"/>
        </w:pict>
      </w:r>
      <w:r>
        <w:pict>
          <v:rect id="_x0000_s22" style="position:absolute;margin-left:0pt;margin-top:80.88pt;mso-position-vertical-relative:page;mso-position-horizontal-relative:page;width:959.85pt;height:3.65pt;z-index:251679744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3229"/>
        <w:spacing w:before="153" w:line="22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27"/>
        </w:rPr>
        <w:t>(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七)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支持外贸企业购买海外资信报告项目</w:t>
      </w:r>
    </w:p>
    <w:p>
      <w:pPr>
        <w:ind w:left="1266" w:right="1382" w:firstLine="1933"/>
        <w:spacing w:before="297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主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要用于支持外贸企业购买海外资信报告。一是支持每家企业可享受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海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外标准资信报告不超过10份/年，海外提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(关)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单报告-目标国家指定产品、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7"/>
        </w:rPr>
        <w:t>海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外提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(关)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单报告-目标企业，</w:t>
      </w:r>
      <w:r>
        <w:rPr>
          <w:rFonts w:ascii="SimHei" w:hAnsi="SimHei" w:eastAsia="SimHei" w:cs="SimHei"/>
          <w:sz w:val="47"/>
          <w:szCs w:val="47"/>
          <w:color w:val="FFFFFF"/>
        </w:rPr>
        <w:t>SinoRating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海外采购商/供应商名录报告等特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需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资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信报告不超过3份/年。二是针对政务类外经贸企业公共服务平台机构购买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特需报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告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、定制报告给予100%的扶持，总金额上限不超过200万元。每个平台机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构可享受不超过5份/年政策支持，金额上限不超过100万元。三是针对省市商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务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主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管部门等政府机关单位购买特需报告、定制报告给予100%的扶持，总金额上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限不超过200万元，每家机关单位可享受不超过5份/年的政策支持，金额上限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不</w:t>
      </w:r>
    </w:p>
    <w:p>
      <w:pPr>
        <w:ind w:left="1268"/>
        <w:spacing w:line="191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超过100万元。</w:t>
      </w:r>
    </w:p>
    <w:p>
      <w:pPr>
        <w:sectPr>
          <w:headerReference w:type="default" r:id="rId19"/>
          <w:pgSz w:w="19197" w:h="10802"/>
          <w:pgMar w:top="400" w:right="0" w:bottom="384" w:left="0" w:header="0" w:footer="0" w:gutter="0"/>
        </w:sectPr>
        <w:rPr/>
      </w:pPr>
    </w:p>
    <w:p>
      <w:pPr>
        <w:ind w:left="1049"/>
        <w:spacing w:before="187" w:line="225" w:lineRule="auto"/>
        <w:rPr>
          <w:rFonts w:ascii="SimHei" w:hAnsi="SimHei" w:eastAsia="SimHei" w:cs="SimHei"/>
          <w:sz w:val="43"/>
          <w:szCs w:val="43"/>
        </w:rPr>
      </w:pPr>
      <w:r>
        <w:pict>
          <v:rect id="_x0000_s23" style="position:absolute;margin-left:0pt;margin-top:19.8pt;mso-position-vertical-relative:page;mso-position-horizontal-relative:page;width:25.35pt;height:64.7pt;z-index:251680768;" o:allowincell="f" fillcolor="#FFFFFF" filled="true" stroked="false"/>
        </w:pict>
      </w:r>
      <w:r>
        <w:pict>
          <v:rect id="_x0000_s24" style="position:absolute;margin-left:0pt;margin-top:80.88pt;mso-position-vertical-relative:page;mso-position-horizontal-relative:page;width:959.85pt;height:3.65pt;z-index:251681792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92D050"/>
          <w:spacing w:val="7"/>
        </w:rPr>
        <w:t>外</w:t>
      </w:r>
      <w:r>
        <w:rPr>
          <w:rFonts w:ascii="SimHei" w:hAnsi="SimHei" w:eastAsia="SimHei" w:cs="SimHei"/>
          <w:sz w:val="43"/>
          <w:szCs w:val="43"/>
          <w:color w:val="92D050"/>
          <w:spacing w:val="6"/>
        </w:rPr>
        <w:t>贸板块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748"/>
        <w:spacing w:before="153" w:line="226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(八)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9"/>
        </w:rPr>
        <w:t>山东省对外开放强县专项奖补项</w:t>
      </w:r>
      <w:r>
        <w:rPr>
          <w:rFonts w:ascii="SimHei" w:hAnsi="SimHei" w:eastAsia="SimHei" w:cs="SimHei"/>
          <w:sz w:val="47"/>
          <w:szCs w:val="47"/>
          <w:color w:val="FFFFFF"/>
          <w:spacing w:val="17"/>
        </w:rPr>
        <w:t>目</w:t>
      </w:r>
    </w:p>
    <w:p>
      <w:pPr>
        <w:ind w:left="2789" w:right="2984" w:firstLine="1918"/>
        <w:spacing w:before="292" w:line="344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2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0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23在全省评选10个对外开放强县，每个对外开放强县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10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0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0万元的资金支持。主要用于支持5个方面，一是外贸主导产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业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转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型升级。二是外贸新业态提升。三是进出口结构优化。四是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招商促进。五是高技术外资项目基础设施配套服务方面支出。</w:t>
      </w:r>
    </w:p>
    <w:p>
      <w:pPr>
        <w:sectPr>
          <w:headerReference w:type="default" r:id="rId20"/>
          <w:pgSz w:w="19197" w:h="10802"/>
          <w:pgMar w:top="400" w:right="0" w:bottom="400" w:left="0" w:header="0" w:footer="0" w:gutter="0"/>
        </w:sectPr>
        <w:rPr/>
      </w:pPr>
    </w:p>
    <w:p>
      <w:pPr>
        <w:spacing w:line="10799" w:lineRule="exact"/>
        <w:textAlignment w:val="center"/>
        <w:rPr/>
      </w:pPr>
      <w:r>
        <w:drawing>
          <wp:inline distT="0" distB="0" distL="0" distR="0">
            <wp:extent cx="12190094" cy="6857517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0094" cy="68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0"/>
          <w:pgSz w:w="19197" w:h="10802"/>
          <w:pgMar w:top="1" w:right="0" w:bottom="1" w:left="0" w:header="0" w:footer="0" w:gutter="0"/>
        </w:sectPr>
        <w:rPr/>
      </w:pPr>
    </w:p>
    <w:p>
      <w:pPr>
        <w:ind w:left="1059"/>
        <w:spacing w:before="187" w:line="708" w:lineRule="exact"/>
        <w:rPr>
          <w:rFonts w:ascii="SimHei" w:hAnsi="SimHei" w:eastAsia="SimHei" w:cs="SimHei"/>
          <w:sz w:val="43"/>
          <w:szCs w:val="43"/>
        </w:rPr>
      </w:pPr>
      <w:r>
        <w:pict>
          <v:rect id="_x0000_s25" style="position:absolute;margin-left:0pt;margin-top:19.8pt;mso-position-vertical-relative:page;mso-position-horizontal-relative:page;width:25.35pt;height:64.7pt;z-index:251684864;" o:allowincell="f" fillcolor="#FFFFFF" filled="true" stroked="false"/>
        </w:pict>
      </w:r>
      <w:r>
        <w:pict>
          <v:rect id="_x0000_s26" style="position:absolute;margin-left:0pt;margin-top:80.88pt;mso-position-vertical-relative:page;mso-position-horizontal-relative:page;width:959.85pt;height:3.65pt;z-index:251685888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36FFDE"/>
          <w:spacing w:val="5"/>
          <w:position w:val="5"/>
        </w:rPr>
        <w:t>一、鲁贸</w:t>
      </w:r>
      <w:r>
        <w:rPr>
          <w:rFonts w:ascii="SimHei" w:hAnsi="SimHei" w:eastAsia="SimHei" w:cs="SimHei"/>
          <w:sz w:val="43"/>
          <w:szCs w:val="43"/>
          <w:color w:val="36FFDE"/>
          <w:spacing w:val="4"/>
          <w:position w:val="5"/>
        </w:rPr>
        <w:t>贷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2681" w:right="2791" w:firstLine="1920"/>
        <w:spacing w:before="153" w:line="343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20"/>
        </w:rPr>
        <w:t>2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2"/>
        </w:rPr>
        <w:t>0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0"/>
        </w:rPr>
        <w:t>20年3月，省商务厅会同省财政厅出台《山东省“鲁贸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20"/>
        </w:rPr>
        <w:t>贷”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3"/>
        </w:rPr>
        <w:t>融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0"/>
        </w:rPr>
        <w:t>资业务实施办法》，对出口额2000万美元以下、上年度总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1"/>
        </w:rPr>
        <w:t>营业额2亿元人民币以下的中小微外贸企业，建立“政府+银行+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9"/>
        </w:rPr>
        <w:t>信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22"/>
        </w:rPr>
        <w:t>保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1"/>
        </w:rPr>
        <w:t>”合作机制，以出口信保保单和政府风险补偿资金作为贷款增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22"/>
        </w:rPr>
        <w:t>信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1"/>
        </w:rPr>
        <w:t>手段，对融资可能产生的风险给予补偿，支持银行向中小微外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16"/>
        </w:rPr>
        <w:t>贸</w:t>
      </w:r>
      <w:r>
        <w:rPr>
          <w:rFonts w:ascii="SimHei" w:hAnsi="SimHei" w:eastAsia="SimHei" w:cs="SimHei"/>
          <w:sz w:val="47"/>
          <w:szCs w:val="47"/>
          <w:color w:val="FFFFFF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  <w:spacing w:val="9"/>
        </w:rPr>
        <w:t>出口企业提供优惠贷款。</w:t>
      </w:r>
    </w:p>
    <w:p>
      <w:pPr>
        <w:sectPr>
          <w:headerReference w:type="default" r:id="rId22"/>
          <w:pgSz w:w="19197" w:h="10802"/>
          <w:pgMar w:top="400" w:right="0" w:bottom="400" w:left="0" w:header="0" w:footer="0" w:gutter="0"/>
        </w:sectPr>
        <w:rPr/>
      </w:pPr>
    </w:p>
    <w:p>
      <w:pPr>
        <w:ind w:left="1059"/>
        <w:spacing w:before="187" w:line="708" w:lineRule="exact"/>
        <w:rPr>
          <w:rFonts w:ascii="SimHei" w:hAnsi="SimHei" w:eastAsia="SimHei" w:cs="SimHei"/>
          <w:sz w:val="43"/>
          <w:szCs w:val="43"/>
        </w:rPr>
      </w:pPr>
      <w:r>
        <w:pict>
          <v:rect id="_x0000_s27" style="position:absolute;margin-left:0pt;margin-top:19.8pt;mso-position-vertical-relative:page;mso-position-horizontal-relative:page;width:25.35pt;height:64.7pt;z-index:251686912;" o:allowincell="f" fillcolor="#FFFFFF" filled="true" stroked="false"/>
        </w:pict>
      </w:r>
      <w:r>
        <w:pict>
          <v:rect id="_x0000_s28" style="position:absolute;margin-left:0pt;margin-top:80.88pt;mso-position-vertical-relative:page;mso-position-horizontal-relative:page;width:959.85pt;height:3.65pt;z-index:251687936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36FFDE"/>
          <w:spacing w:val="5"/>
          <w:position w:val="5"/>
        </w:rPr>
        <w:t>一、鲁贸</w:t>
      </w:r>
      <w:r>
        <w:rPr>
          <w:rFonts w:ascii="SimHei" w:hAnsi="SimHei" w:eastAsia="SimHei" w:cs="SimHei"/>
          <w:sz w:val="43"/>
          <w:szCs w:val="43"/>
          <w:color w:val="36FFDE"/>
          <w:spacing w:val="4"/>
          <w:position w:val="5"/>
        </w:rPr>
        <w:t>贷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89" w:lineRule="exact"/>
        <w:rPr/>
      </w:pPr>
      <w:r/>
    </w:p>
    <w:tbl>
      <w:tblPr>
        <w:tblStyle w:val="2"/>
        <w:tblW w:w="14610" w:type="dxa"/>
        <w:tblInd w:w="2310" w:type="dxa"/>
        <w:tblLayout w:type="fixed"/>
        <w:tbl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H w:val="single" w:color="4F81BD" w:sz="8" w:space="0"/>
          <w:insideV w:val="single" w:color="4F81BD" w:sz="8" w:space="0"/>
        </w:tblBorders>
      </w:tblPr>
      <w:tblGrid>
        <w:gridCol w:w="3595"/>
        <w:gridCol w:w="2390"/>
        <w:gridCol w:w="2306"/>
        <w:gridCol w:w="2292"/>
        <w:gridCol w:w="4027"/>
      </w:tblGrid>
      <w:tr>
        <w:trPr>
          <w:trHeight w:val="991" w:hRule="atLeast"/>
        </w:trPr>
        <w:tc>
          <w:tcPr>
            <w:shd w:val="clear" w:fill="4F81BD"/>
            <w:tcW w:w="3595" w:type="dxa"/>
            <w:vAlign w:val="top"/>
            <w:vMerge w:val="restart"/>
            <w:tcBorders>
              <w:bottom w:val="none" w:color="000000" w:sz="2" w:space="0"/>
              <w:top w:val="single" w:color="4F81BD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893"/>
              <w:spacing w:before="94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10"/>
              </w:rPr>
              <w:t>上</w:t>
            </w: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9"/>
              </w:rPr>
              <w:t>年出口规模</w:t>
            </w:r>
          </w:p>
          <w:p>
            <w:pPr>
              <w:ind w:left="1054"/>
              <w:spacing w:before="64" w:line="227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34"/>
              </w:rPr>
              <w:t>(</w:t>
            </w: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33"/>
              </w:rPr>
              <w:t>万美元)</w:t>
            </w:r>
          </w:p>
        </w:tc>
        <w:tc>
          <w:tcPr>
            <w:shd w:val="clear" w:fill="4F81BD"/>
            <w:tcW w:w="6988" w:type="dxa"/>
            <w:vAlign w:val="top"/>
            <w:gridSpan w:val="3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283"/>
              <w:spacing w:before="95" w:line="224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15"/>
              </w:rPr>
              <w:t>贷</w:t>
            </w: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10"/>
              </w:rPr>
              <w:t>款损失补偿比例</w:t>
            </w:r>
          </w:p>
        </w:tc>
        <w:tc>
          <w:tcPr>
            <w:shd w:val="clear" w:fill="4F81BD"/>
            <w:tcW w:w="4027" w:type="dxa"/>
            <w:vAlign w:val="top"/>
            <w:vMerge w:val="restart"/>
            <w:tcBorders>
              <w:bottom w:val="none" w:color="000000" w:sz="2" w:space="0"/>
              <w:top w:val="single" w:color="4F81BD" w:sz="2" w:space="0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94" w:line="224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19"/>
              </w:rPr>
              <w:t>单</w:t>
            </w: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10"/>
              </w:rPr>
              <w:t>户企业贷款损失补偿累计限</w:t>
            </w:r>
          </w:p>
          <w:p>
            <w:pPr>
              <w:ind w:left="1865"/>
              <w:spacing w:before="67" w:line="225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额</w:t>
            </w:r>
          </w:p>
          <w:p>
            <w:pPr>
              <w:ind w:left="1274"/>
              <w:spacing w:before="66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34"/>
              </w:rPr>
              <w:t>(</w:t>
            </w:r>
            <w:r>
              <w:rPr>
                <w:rFonts w:ascii="SimSun" w:hAnsi="SimSun" w:eastAsia="SimSun" w:cs="SimSun"/>
                <w:sz w:val="29"/>
                <w:szCs w:val="29"/>
                <w:color w:val="FFFFFF"/>
                <w14:textOutline w14:w="544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  <w:spacing w:val="33"/>
              </w:rPr>
              <w:t>人民币)</w:t>
            </w:r>
          </w:p>
        </w:tc>
      </w:tr>
      <w:tr>
        <w:trPr>
          <w:trHeight w:val="1242" w:hRule="atLeast"/>
        </w:trPr>
        <w:tc>
          <w:tcPr>
            <w:tcW w:w="3595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8CCE4"/>
            <w:tcW w:w="2390" w:type="dxa"/>
            <w:vAlign w:val="top"/>
            <w:vMerge w:val="restart"/>
            <w:tcBorders>
              <w:bottom w:val="none" w:color="000000" w:sz="2" w:space="0"/>
              <w:top w:val="single" w:color="4F81BD" w:sz="2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588"/>
              <w:spacing w:before="95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信</w:t>
            </w: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保项下</w:t>
            </w:r>
          </w:p>
        </w:tc>
        <w:tc>
          <w:tcPr>
            <w:shd w:val="clear" w:fill="B8CCE4"/>
            <w:tcW w:w="4598" w:type="dxa"/>
            <w:vAlign w:val="top"/>
            <w:gridSpan w:val="2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551"/>
              <w:spacing w:before="94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非</w:t>
            </w: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信保项下</w:t>
            </w:r>
          </w:p>
        </w:tc>
        <w:tc>
          <w:tcPr>
            <w:tcW w:w="4027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92" w:hRule="atLeast"/>
        </w:trPr>
        <w:tc>
          <w:tcPr>
            <w:tcW w:w="3595" w:type="dxa"/>
            <w:vAlign w:val="top"/>
            <w:vMerge w:val="continue"/>
            <w:tcBorders>
              <w:bottom w:val="single" w:color="4F81BD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0" w:type="dxa"/>
            <w:vAlign w:val="top"/>
            <w:vMerge w:val="continue"/>
            <w:tcBorders>
              <w:bottom w:val="single" w:color="4F81BD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306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554"/>
              <w:spacing w:before="261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非</w:t>
            </w: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纯信用</w:t>
            </w:r>
          </w:p>
        </w:tc>
        <w:tc>
          <w:tcPr>
            <w:shd w:val="clear" w:fill="FFFFFF"/>
            <w:tcW w:w="2292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700"/>
              <w:spacing w:before="261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纯信用</w:t>
            </w:r>
          </w:p>
        </w:tc>
        <w:tc>
          <w:tcPr>
            <w:tcW w:w="4027" w:type="dxa"/>
            <w:vAlign w:val="top"/>
            <w:vMerge w:val="continue"/>
            <w:tcBorders>
              <w:bottom w:val="single" w:color="4F81BD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41" w:hRule="atLeast"/>
        </w:trPr>
        <w:tc>
          <w:tcPr>
            <w:shd w:val="clear" w:fill="B8CCE4"/>
            <w:tcW w:w="3595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974"/>
              <w:spacing w:before="94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6"/>
              </w:rPr>
              <w:t>0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-300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(含)</w:t>
            </w:r>
          </w:p>
        </w:tc>
        <w:tc>
          <w:tcPr>
            <w:shd w:val="clear" w:fill="B8CCE4"/>
            <w:tcW w:w="2390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968"/>
              <w:spacing w:before="95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1"/>
                <w:position w:val="1"/>
              </w:rPr>
              <w:t>90</w:t>
            </w:r>
            <w:r>
              <w:rPr>
                <w:rFonts w:ascii="SimSun" w:hAnsi="SimSun" w:eastAsia="SimSun" w:cs="SimSun"/>
                <w:sz w:val="29"/>
                <w:szCs w:val="29"/>
                <w:position w:val="1"/>
              </w:rPr>
              <w:t>%</w:t>
            </w:r>
          </w:p>
        </w:tc>
        <w:tc>
          <w:tcPr>
            <w:shd w:val="clear" w:fill="B8CCE4"/>
            <w:tcW w:w="2306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934"/>
              <w:spacing w:before="95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-1"/>
                <w:position w:val="1"/>
              </w:rPr>
              <w:t>50%</w:t>
            </w:r>
          </w:p>
        </w:tc>
        <w:tc>
          <w:tcPr>
            <w:shd w:val="clear" w:fill="B8CCE4"/>
            <w:tcW w:w="2292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931"/>
              <w:spacing w:before="95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-2"/>
                <w:position w:val="1"/>
              </w:rPr>
              <w:t>7</w:t>
            </w:r>
            <w:r>
              <w:rPr>
                <w:rFonts w:ascii="SimSun" w:hAnsi="SimSun" w:eastAsia="SimSun" w:cs="SimSun"/>
                <w:sz w:val="29"/>
                <w:szCs w:val="29"/>
                <w:spacing w:val="-1"/>
                <w:position w:val="1"/>
              </w:rPr>
              <w:t>0%</w:t>
            </w:r>
          </w:p>
        </w:tc>
        <w:tc>
          <w:tcPr>
            <w:shd w:val="clear" w:fill="B8CCE4"/>
            <w:tcW w:w="4027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497"/>
              <w:spacing w:before="94" w:line="227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5"/>
              </w:rPr>
              <w:t>3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00万元</w:t>
            </w:r>
          </w:p>
        </w:tc>
      </w:tr>
      <w:tr>
        <w:trPr>
          <w:trHeight w:val="874" w:hRule="atLeast"/>
        </w:trPr>
        <w:tc>
          <w:tcPr>
            <w:shd w:val="clear" w:fill="FFFFFF"/>
            <w:tcW w:w="3595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752"/>
              <w:spacing w:before="304" w:line="22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6"/>
              </w:rPr>
              <w:t>30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0-1000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(含)</w:t>
            </w:r>
          </w:p>
        </w:tc>
        <w:tc>
          <w:tcPr>
            <w:shd w:val="clear" w:fill="FFFFFF"/>
            <w:tcW w:w="2390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968"/>
              <w:spacing w:before="303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1"/>
                <w:position w:val="1"/>
              </w:rPr>
              <w:t>80</w:t>
            </w:r>
            <w:r>
              <w:rPr>
                <w:rFonts w:ascii="SimSun" w:hAnsi="SimSun" w:eastAsia="SimSun" w:cs="SimSun"/>
                <w:sz w:val="29"/>
                <w:szCs w:val="29"/>
                <w:position w:val="1"/>
              </w:rPr>
              <w:t>%</w:t>
            </w:r>
          </w:p>
        </w:tc>
        <w:tc>
          <w:tcPr>
            <w:shd w:val="clear" w:fill="FFFFFF"/>
            <w:tcW w:w="2306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934"/>
              <w:spacing w:before="303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-1"/>
                <w:position w:val="1"/>
              </w:rPr>
              <w:t>30%</w:t>
            </w:r>
          </w:p>
        </w:tc>
        <w:tc>
          <w:tcPr>
            <w:shd w:val="clear" w:fill="FFFFFF"/>
            <w:tcW w:w="2292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27" w:line="141" w:lineRule="exact"/>
              <w:rPr>
                <w:rFonts w:ascii="Calibri" w:hAnsi="Calibri" w:eastAsia="Calibri" w:cs="Calibri"/>
                <w:sz w:val="9"/>
                <w:szCs w:val="9"/>
              </w:rPr>
            </w:pPr>
            <w:r>
              <w:rPr>
                <w:rFonts w:ascii="Calibri" w:hAnsi="Calibri" w:eastAsia="Calibri" w:cs="Calibri"/>
                <w:sz w:val="9"/>
                <w:szCs w:val="9"/>
                <w:spacing w:val="168"/>
                <w:position w:val="2"/>
              </w:rPr>
              <w:t>—</w:t>
            </w:r>
          </w:p>
        </w:tc>
        <w:tc>
          <w:tcPr>
            <w:shd w:val="clear" w:fill="FFFFFF"/>
            <w:tcW w:w="4027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ind w:left="1497"/>
              <w:spacing w:before="303" w:line="227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5"/>
              </w:rPr>
              <w:t>5</w:t>
            </w:r>
            <w:r>
              <w:rPr>
                <w:rFonts w:ascii="SimSun" w:hAnsi="SimSun" w:eastAsia="SimSun" w:cs="SimSun"/>
                <w:sz w:val="29"/>
                <w:szCs w:val="29"/>
                <w:spacing w:val="3"/>
              </w:rPr>
              <w:t>00万元</w:t>
            </w:r>
          </w:p>
        </w:tc>
      </w:tr>
      <w:tr>
        <w:trPr>
          <w:trHeight w:val="1095" w:hRule="atLeast"/>
        </w:trPr>
        <w:tc>
          <w:tcPr>
            <w:shd w:val="clear" w:fill="B8CCE4"/>
            <w:tcW w:w="3595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143"/>
              <w:spacing w:before="94" w:line="190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2"/>
              </w:rPr>
              <w:t>10</w:t>
            </w:r>
            <w:r>
              <w:rPr>
                <w:rFonts w:ascii="SimSun" w:hAnsi="SimSun" w:eastAsia="SimSun" w:cs="SimSun"/>
                <w:sz w:val="29"/>
                <w:szCs w:val="29"/>
                <w:spacing w:val="1"/>
              </w:rPr>
              <w:t>00-2000</w:t>
            </w:r>
          </w:p>
        </w:tc>
        <w:tc>
          <w:tcPr>
            <w:shd w:val="clear" w:fill="B8CCE4"/>
            <w:tcW w:w="2390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974"/>
              <w:spacing w:before="94" w:line="387" w:lineRule="exact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-2"/>
                <w:position w:val="1"/>
              </w:rPr>
              <w:t>7</w:t>
            </w:r>
            <w:r>
              <w:rPr>
                <w:rFonts w:ascii="SimSun" w:hAnsi="SimSun" w:eastAsia="SimSun" w:cs="SimSun"/>
                <w:sz w:val="29"/>
                <w:szCs w:val="29"/>
                <w:spacing w:val="-1"/>
                <w:position w:val="1"/>
              </w:rPr>
              <w:t>0%</w:t>
            </w:r>
          </w:p>
        </w:tc>
        <w:tc>
          <w:tcPr>
            <w:shd w:val="clear" w:fill="B8CCE4"/>
            <w:tcW w:w="2306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027"/>
              <w:spacing w:before="27" w:line="141" w:lineRule="exact"/>
              <w:rPr>
                <w:rFonts w:ascii="Calibri" w:hAnsi="Calibri" w:eastAsia="Calibri" w:cs="Calibri"/>
                <w:sz w:val="9"/>
                <w:szCs w:val="9"/>
              </w:rPr>
            </w:pPr>
            <w:r>
              <w:rPr>
                <w:rFonts w:ascii="Calibri" w:hAnsi="Calibri" w:eastAsia="Calibri" w:cs="Calibri"/>
                <w:sz w:val="9"/>
                <w:szCs w:val="9"/>
                <w:spacing w:val="168"/>
                <w:position w:val="2"/>
              </w:rPr>
              <w:t>—</w:t>
            </w:r>
          </w:p>
        </w:tc>
        <w:tc>
          <w:tcPr>
            <w:shd w:val="clear" w:fill="B8CCE4"/>
            <w:tcW w:w="2292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27" w:line="141" w:lineRule="exact"/>
              <w:rPr>
                <w:rFonts w:ascii="Calibri" w:hAnsi="Calibri" w:eastAsia="Calibri" w:cs="Calibri"/>
                <w:sz w:val="9"/>
                <w:szCs w:val="9"/>
              </w:rPr>
            </w:pPr>
            <w:r>
              <w:rPr>
                <w:rFonts w:ascii="Calibri" w:hAnsi="Calibri" w:eastAsia="Calibri" w:cs="Calibri"/>
                <w:sz w:val="9"/>
                <w:szCs w:val="9"/>
                <w:spacing w:val="168"/>
                <w:position w:val="2"/>
              </w:rPr>
              <w:t>—</w:t>
            </w:r>
          </w:p>
        </w:tc>
        <w:tc>
          <w:tcPr>
            <w:shd w:val="clear" w:fill="B8CCE4"/>
            <w:tcW w:w="4027" w:type="dxa"/>
            <w:vAlign w:val="top"/>
            <w:tcBorders>
              <w:bottom w:val="single" w:color="4F81BD" w:sz="2" w:space="0"/>
              <w:top w:val="single" w:color="4F81BD" w:sz="2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1492"/>
              <w:spacing w:before="94" w:line="227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spacing w:val="6"/>
              </w:rPr>
              <w:t>8</w:t>
            </w:r>
            <w:r>
              <w:rPr>
                <w:rFonts w:ascii="SimSun" w:hAnsi="SimSun" w:eastAsia="SimSun" w:cs="SimSun"/>
                <w:sz w:val="29"/>
                <w:szCs w:val="29"/>
                <w:spacing w:val="4"/>
              </w:rPr>
              <w:t>00万元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3"/>
          <w:pgSz w:w="19197" w:h="10802"/>
          <w:pgMar w:top="400" w:right="0" w:bottom="400" w:left="0" w:header="0" w:footer="0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>
        <w:pict>
          <v:rect id="_x0000_s29" style="position:absolute;margin-left:0pt;margin-top:19.8pt;mso-position-vertical-relative:page;mso-position-horizontal-relative:page;width:25.35pt;height:64.7pt;z-index:251688960;" o:allowincell="f" fillcolor="#FFFFFF" filled="true" stroked="false"/>
        </w:pict>
      </w:r>
      <w:r>
        <w:pict>
          <v:rect id="_x0000_s30" style="position:absolute;margin-left:0pt;margin-top:80.88pt;mso-position-vertical-relative:page;mso-position-horizontal-relative:page;width:959.85pt;height:3.65pt;z-index:251689984;" o:allowincell="f" fillcolor="#FFFFFF" filled="true" stroked="false"/>
        </w:pict>
      </w:r>
      <w:r>
        <w:pict>
          <v:shape id="_x0000_s31" style="position:absolute;margin-left:22.291pt;margin-top:97.937pt;mso-position-vertical-relative:page;mso-position-horizontal-relative:page;width:33.15pt;height:26.05pt;z-index:251692032;" o:allowincell="f" fillcolor="#FFFFFF" filled="true" stroked="false" coordsize="663,520" coordorigin="0,0" path="m615,0l662,99c614,115,579,137,559,166c538,194,527,232,526,280l642,280l642,520l401,520l401,348c401,278,407,223,420,183c432,143,455,107,488,75c522,43,564,18,615,0m213,0l260,99c212,115,178,137,157,166c136,194,125,232,124,280l240,280l240,520l0,520l0,348c0,279,6,224,18,183c30,143,53,107,86,75c119,43,161,18,213,0e"/>
        </w:pict>
      </w:r>
      <w:r>
        <w:pict>
          <v:shape id="_x0000_s32" style="position:absolute;margin-left:884.784pt;margin-top:471.953pt;mso-position-vertical-relative:page;mso-position-horizontal-relative:page;width:42.4pt;height:33.3pt;z-index:251691008;" o:allowincell="f" fillcolor="#FFFFFF" filled="true" stroked="false" coordsize="848,665" coordorigin="0,0" path="m540,0l847,0l847,220c847,309,839,379,824,430c808,481,779,527,736,568c694,609,640,641,575,665l515,537c576,516,620,488,647,452c673,415,687,367,688,306l540,306l540,0xm25,0l332,0l332,220c332,309,324,379,309,430c293,481,264,527,222,568c179,609,125,641,60,665l0,537c61,516,105,488,132,452c158,415,172,367,173,306l25,306l25,0e"/>
        </w:pict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3660"/>
        <w:spacing w:before="153" w:line="225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21"/>
        </w:rPr>
        <w:t>承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办银行：进出口银行山东省分行、工商银行山东省分行、农业</w:t>
      </w:r>
    </w:p>
    <w:p>
      <w:pPr>
        <w:ind w:left="1738" w:right="1703"/>
        <w:spacing w:before="297" w:line="33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银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行山东省分行、中国银行山东省分行、建设银行山东省分行、交通银行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山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东省分行、省农信联社、恒丰银行、光大银行济南分行、招商银行济南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5"/>
        </w:rPr>
        <w:t>分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行、浦发银行济南分行、民生银行济南分行、浙商银行济南分行、齐鲁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4"/>
        </w:rPr>
        <w:t>银</w:t>
      </w:r>
      <w:r>
        <w:rPr>
          <w:rFonts w:ascii="SimHei" w:hAnsi="SimHei" w:eastAsia="SimHei" w:cs="SimHei"/>
          <w:sz w:val="47"/>
          <w:szCs w:val="47"/>
          <w:color w:val="FFFFFF"/>
          <w:spacing w:val="13"/>
        </w:rPr>
        <w:t>行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、青岛银行、齐商银行、枣庄银行、东营银行、烟台银行、潍坊银行、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"/>
        </w:rPr>
        <w:t>济宁银行、泰安银行</w:t>
      </w:r>
      <w:r>
        <w:rPr>
          <w:rFonts w:ascii="SimHei" w:hAnsi="SimHei" w:eastAsia="SimHei" w:cs="SimHei"/>
          <w:sz w:val="47"/>
          <w:szCs w:val="47"/>
          <w:color w:val="FFFFFF"/>
        </w:rPr>
        <w:t>、威海市商业银行、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</w:rPr>
        <w:t>日照银行、莱商银行、临商银行、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德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州银行、北京银行济南分行。</w:t>
      </w:r>
    </w:p>
    <w:p>
      <w:pPr>
        <w:ind w:left="1740" w:right="2101" w:firstLine="1920"/>
        <w:spacing w:before="2" w:line="349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承办保险机构：中国信保山东分公司、人保财险山东省分公司</w:t>
      </w:r>
      <w:r>
        <w:rPr>
          <w:rFonts w:ascii="SimHei" w:hAnsi="SimHei" w:eastAsia="SimHei" w:cs="SimHei"/>
          <w:sz w:val="47"/>
          <w:szCs w:val="47"/>
          <w:color w:val="FFFFFF"/>
          <w:spacing w:val="4"/>
        </w:rPr>
        <w:t>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太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保财险山东分公司。</w:t>
      </w:r>
    </w:p>
    <w:p>
      <w:pPr>
        <w:sectPr>
          <w:headerReference w:type="default" r:id="rId24"/>
          <w:pgSz w:w="19197" w:h="10802"/>
          <w:pgMar w:top="400" w:right="0" w:bottom="400" w:left="0" w:header="0" w:footer="0" w:gutter="0"/>
        </w:sectPr>
        <w:rPr/>
      </w:pPr>
    </w:p>
    <w:p>
      <w:pPr>
        <w:ind w:left="1059"/>
        <w:spacing w:before="187" w:line="574" w:lineRule="exact"/>
        <w:rPr>
          <w:rFonts w:ascii="SimHei" w:hAnsi="SimHei" w:eastAsia="SimHei" w:cs="SimHei"/>
          <w:sz w:val="43"/>
          <w:szCs w:val="43"/>
        </w:rPr>
      </w:pPr>
      <w:r>
        <w:pict>
          <v:rect id="_x0000_s33" style="position:absolute;margin-left:0pt;margin-top:19.8pt;mso-position-vertical-relative:page;mso-position-horizontal-relative:page;width:25.35pt;height:64.7pt;z-index:251693056;" o:allowincell="f" fillcolor="#FFFFFF" filled="true" stroked="false"/>
        </w:pict>
      </w:r>
      <w:r>
        <w:pict>
          <v:rect id="_x0000_s34" style="position:absolute;margin-left:0pt;margin-top:80.88pt;mso-position-vertical-relative:page;mso-position-horizontal-relative:page;width:959.85pt;height:3.65pt;z-index:251694080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36FFDE"/>
          <w:spacing w:val="8"/>
          <w:position w:val="3"/>
        </w:rPr>
        <w:t>二</w:t>
      </w:r>
      <w:r>
        <w:rPr>
          <w:rFonts w:ascii="SimHei" w:hAnsi="SimHei" w:eastAsia="SimHei" w:cs="SimHei"/>
          <w:sz w:val="43"/>
          <w:szCs w:val="43"/>
          <w:color w:val="36FFDE"/>
          <w:spacing w:val="6"/>
          <w:position w:val="3"/>
        </w:rPr>
        <w:t>、齐鲁进口贷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2053" w:right="2044" w:firstLine="1612"/>
        <w:spacing w:before="130" w:line="334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为进一步缓解我省中小微进口企业融资难、融资贵问题，</w:t>
      </w:r>
      <w:r>
        <w:rPr>
          <w:rFonts w:ascii="SimHei" w:hAnsi="SimHei" w:eastAsia="SimHei" w:cs="SimHei"/>
          <w:sz w:val="40"/>
          <w:szCs w:val="40"/>
          <w:color w:val="FFFFFF"/>
        </w:rPr>
        <w:t>2022年5月，省商务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厅、省地方金融监管局、人</w:t>
      </w:r>
      <w:r>
        <w:rPr>
          <w:rFonts w:ascii="SimHei" w:hAnsi="SimHei" w:eastAsia="SimHei" w:cs="SimHei"/>
          <w:sz w:val="40"/>
          <w:szCs w:val="40"/>
          <w:color w:val="FFFFFF"/>
        </w:rPr>
        <w:t>民银行济南分行联合山东农担公司、省投融资担保集团共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同出台《山东省“齐鲁进口</w:t>
      </w:r>
      <w:r>
        <w:rPr>
          <w:rFonts w:ascii="SimHei" w:hAnsi="SimHei" w:eastAsia="SimHei" w:cs="SimHei"/>
          <w:sz w:val="40"/>
          <w:szCs w:val="40"/>
          <w:color w:val="FFFFFF"/>
        </w:rPr>
        <w:t>贷”业务实施办法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</w:rPr>
        <w:t>(试行)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</w:rPr>
        <w:t>》，利用现行政府性融资担保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风险补偿机制，为最近12</w:t>
      </w:r>
      <w:r>
        <w:rPr>
          <w:rFonts w:ascii="SimHei" w:hAnsi="SimHei" w:eastAsia="SimHei" w:cs="SimHei"/>
          <w:sz w:val="40"/>
          <w:szCs w:val="40"/>
          <w:color w:val="FFFFFF"/>
        </w:rPr>
        <w:t>个月累计进口额不超过2000万美元的资源能源性商品、机电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4"/>
        </w:rPr>
        <w:t>高技术装备、农产品等重要民</w:t>
      </w:r>
      <w:r>
        <w:rPr>
          <w:rFonts w:ascii="SimHei" w:hAnsi="SimHei" w:eastAsia="SimHei" w:cs="SimHei"/>
          <w:sz w:val="40"/>
          <w:szCs w:val="40"/>
          <w:color w:val="FFFFFF"/>
          <w:spacing w:val="-2"/>
        </w:rPr>
        <w:t>生消费品进口企业，提供优惠贷款利率和优惠担保费率，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其中符合山东农担公司业务</w:t>
      </w:r>
      <w:r>
        <w:rPr>
          <w:rFonts w:ascii="SimHei" w:hAnsi="SimHei" w:eastAsia="SimHei" w:cs="SimHei"/>
          <w:sz w:val="40"/>
          <w:szCs w:val="40"/>
          <w:color w:val="FFFFFF"/>
        </w:rPr>
        <w:t>条件的，适用“齐鲁进口贷-惠农进口贷”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</w:rPr>
        <w:t>，单户贷款额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度为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10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万元-300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</w:rPr>
        <w:t>万元；符合省投融资担保集团及体系成员业务条件的，适用“齐鲁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0"/>
        </w:rPr>
        <w:t>进</w:t>
      </w:r>
      <w:r>
        <w:rPr>
          <w:rFonts w:ascii="SimHei" w:hAnsi="SimHei" w:eastAsia="SimHei" w:cs="SimHei"/>
          <w:sz w:val="40"/>
          <w:szCs w:val="40"/>
          <w:color w:val="FFFFFF"/>
          <w:spacing w:val="-7"/>
        </w:rPr>
        <w:t>口</w:t>
      </w:r>
      <w:r>
        <w:rPr>
          <w:rFonts w:ascii="SimHei" w:hAnsi="SimHei" w:eastAsia="SimHei" w:cs="SimHei"/>
          <w:sz w:val="40"/>
          <w:szCs w:val="40"/>
          <w:color w:val="FFFFFF"/>
          <w:spacing w:val="-5"/>
        </w:rPr>
        <w:t>贷-普惠进口贷”</w:t>
      </w:r>
      <w:r>
        <w:rPr>
          <w:rFonts w:ascii="SimHei" w:hAnsi="SimHei" w:eastAsia="SimHei" w:cs="SimHei"/>
          <w:sz w:val="40"/>
          <w:szCs w:val="40"/>
          <w:color w:val="FFFFFF"/>
          <w:spacing w:val="-5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5"/>
        </w:rPr>
        <w:t>，单户贷款额度不超过1000万元。“惠农进口贷”担保费率不超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过贷款金额的0.75%/</w:t>
      </w:r>
      <w:r>
        <w:rPr>
          <w:rFonts w:ascii="SimHei" w:hAnsi="SimHei" w:eastAsia="SimHei" w:cs="SimHei"/>
          <w:sz w:val="40"/>
          <w:szCs w:val="40"/>
          <w:color w:val="FFFFFF"/>
        </w:rPr>
        <w:t>年；“普惠进口贷”担保费率原则上不超过贷款金额的1%/年。贷</w:t>
      </w:r>
      <w:r>
        <w:rPr>
          <w:rFonts w:ascii="SimHei" w:hAnsi="SimHei" w:eastAsia="SimHei" w:cs="SimHei"/>
          <w:sz w:val="40"/>
          <w:szCs w:val="40"/>
          <w:color w:val="FFFFFF"/>
        </w:rPr>
        <w:t xml:space="preserve"> </w:t>
      </w:r>
      <w:r>
        <w:rPr>
          <w:rFonts w:ascii="SimHei" w:hAnsi="SimHei" w:eastAsia="SimHei" w:cs="SimHei"/>
          <w:sz w:val="40"/>
          <w:szCs w:val="40"/>
          <w:color w:val="FFFFFF"/>
          <w:spacing w:val="-2"/>
        </w:rPr>
        <w:t>款利率</w:t>
      </w:r>
      <w:r>
        <w:rPr>
          <w:rFonts w:ascii="SimHei" w:hAnsi="SimHei" w:eastAsia="SimHei" w:cs="SimHei"/>
          <w:sz w:val="40"/>
          <w:szCs w:val="40"/>
          <w:color w:val="FFFFFF"/>
          <w:spacing w:val="-1"/>
        </w:rPr>
        <w:t>不超过6%。</w:t>
      </w:r>
    </w:p>
    <w:p>
      <w:pPr>
        <w:sectPr>
          <w:headerReference w:type="default" r:id="rId25"/>
          <w:pgSz w:w="19197" w:h="10802"/>
          <w:pgMar w:top="400" w:right="0" w:bottom="400" w:left="0" w:header="0" w:footer="0" w:gutter="0"/>
        </w:sectPr>
        <w:rPr/>
      </w:pPr>
    </w:p>
    <w:p>
      <w:pPr>
        <w:ind w:left="1061"/>
        <w:spacing w:before="188" w:line="239" w:lineRule="auto"/>
        <w:rPr>
          <w:rFonts w:ascii="SimHei" w:hAnsi="SimHei" w:eastAsia="SimHei" w:cs="SimHei"/>
          <w:sz w:val="43"/>
          <w:szCs w:val="43"/>
        </w:rPr>
      </w:pPr>
      <w:r>
        <w:pict>
          <v:rect id="_x0000_s35" style="position:absolute;margin-left:0pt;margin-top:19.8pt;mso-position-vertical-relative:page;mso-position-horizontal-relative:page;width:25.35pt;height:64.7pt;z-index:251697152;" o:allowincell="f" fillcolor="#FFFFFF" filled="true" stroked="false"/>
        </w:pict>
      </w:r>
      <w:r>
        <w:pict>
          <v:rect id="_x0000_s36" style="position:absolute;margin-left:0pt;margin-top:80.88pt;mso-position-vertical-relative:page;mso-position-horizontal-relative:page;width:959.85pt;height:3.65pt;z-index:251698176;" o:allowincell="f" fillcolor="#FFFFFF" filled="true" stroked="false"/>
        </w:pict>
      </w:r>
      <w:r>
        <w:rPr>
          <w:rFonts w:ascii="SimHei" w:hAnsi="SimHei" w:eastAsia="SimHei" w:cs="SimHei"/>
          <w:sz w:val="43"/>
          <w:szCs w:val="43"/>
          <w:color w:val="36FFDE"/>
          <w:spacing w:val="13"/>
        </w:rPr>
        <w:t>三</w:t>
      </w:r>
      <w:r>
        <w:rPr>
          <w:rFonts w:ascii="SimHei" w:hAnsi="SimHei" w:eastAsia="SimHei" w:cs="SimHei"/>
          <w:sz w:val="43"/>
          <w:szCs w:val="43"/>
          <w:color w:val="36FFDE"/>
          <w:spacing w:val="8"/>
        </w:rPr>
        <w:t>、外贸企业汇率避险增信服务试点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2899" w:right="2984" w:firstLine="1935"/>
        <w:spacing w:before="153" w:line="342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为提升中小微外贸企业应对汇率波动风险能力，202</w:t>
      </w:r>
      <w:r>
        <w:rPr>
          <w:rFonts w:ascii="SimHei" w:hAnsi="SimHei" w:eastAsia="SimHei" w:cs="SimHei"/>
          <w:sz w:val="47"/>
          <w:szCs w:val="47"/>
          <w:color w:val="FFFFFF"/>
          <w:spacing w:val="7"/>
        </w:rPr>
        <w:t>2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22"/>
        </w:rPr>
        <w:t>年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8月，省商务厅会同省财政厅、国家外汇管理局山东省分局、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省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地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方金融监管局出台《山东省支持中小微外贸企业汇率避险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0"/>
        </w:rPr>
        <w:t>增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信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服务试点管理办法》，建立“政府+银行+担保”运作模式，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8"/>
        </w:rPr>
        <w:t>鼓</w:t>
      </w:r>
      <w:r>
        <w:rPr>
          <w:rFonts w:ascii="SimHei" w:hAnsi="SimHei" w:eastAsia="SimHei" w:cs="SimHei"/>
          <w:sz w:val="47"/>
          <w:szCs w:val="47"/>
          <w:color w:val="FFFFFF"/>
          <w:spacing w:val="12"/>
        </w:rPr>
        <w:t>励</w:t>
      </w:r>
      <w:r>
        <w:rPr>
          <w:rFonts w:ascii="SimHei" w:hAnsi="SimHei" w:eastAsia="SimHei" w:cs="SimHei"/>
          <w:sz w:val="47"/>
          <w:szCs w:val="47"/>
          <w:color w:val="FFFFFF"/>
          <w:spacing w:val="9"/>
        </w:rPr>
        <w:t>融资担保机构为企业汇率避险提供担保服务，银行机构免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除</w:t>
      </w:r>
      <w:r>
        <w:rPr>
          <w:rFonts w:ascii="SimHei" w:hAnsi="SimHei" w:eastAsia="SimHei" w:cs="SimHei"/>
          <w:sz w:val="47"/>
          <w:szCs w:val="47"/>
          <w:color w:val="FFFFFF"/>
          <w:spacing w:val="5"/>
        </w:rPr>
        <w:t>进出口额在2000万美元以下中小微外贸企业汇率避险保证金，</w:t>
      </w:r>
      <w:r>
        <w:rPr>
          <w:rFonts w:ascii="SimHei" w:hAnsi="SimHei" w:eastAsia="SimHei" w:cs="SimHei"/>
          <w:sz w:val="47"/>
          <w:szCs w:val="47"/>
          <w:color w:val="FFFFFF"/>
        </w:rPr>
        <w:t xml:space="preserve"> </w:t>
      </w:r>
      <w:r>
        <w:rPr>
          <w:rFonts w:ascii="SimHei" w:hAnsi="SimHei" w:eastAsia="SimHei" w:cs="SimHei"/>
          <w:sz w:val="47"/>
          <w:szCs w:val="47"/>
          <w:color w:val="FFFFFF"/>
          <w:spacing w:val="16"/>
        </w:rPr>
        <w:t>担</w:t>
      </w:r>
      <w:r>
        <w:rPr>
          <w:rFonts w:ascii="SimHei" w:hAnsi="SimHei" w:eastAsia="SimHei" w:cs="SimHei"/>
          <w:sz w:val="47"/>
          <w:szCs w:val="47"/>
          <w:color w:val="FFFFFF"/>
          <w:spacing w:val="11"/>
        </w:rPr>
        <w:t>保</w:t>
      </w:r>
      <w:r>
        <w:rPr>
          <w:rFonts w:ascii="SimHei" w:hAnsi="SimHei" w:eastAsia="SimHei" w:cs="SimHei"/>
          <w:sz w:val="47"/>
          <w:szCs w:val="47"/>
          <w:color w:val="FFFFFF"/>
          <w:spacing w:val="8"/>
        </w:rPr>
        <w:t>费由省、市两级财政给予全额补助。</w:t>
      </w:r>
    </w:p>
    <w:p>
      <w:pPr>
        <w:sectPr>
          <w:headerReference w:type="default" r:id="rId26"/>
          <w:pgSz w:w="19197" w:h="10802"/>
          <w:pgMar w:top="400" w:right="0" w:bottom="400" w:left="0" w:header="0" w:footer="0" w:gutter="0"/>
        </w:sectPr>
        <w:rPr/>
      </w:pPr>
    </w:p>
    <w:p>
      <w:pPr>
        <w:spacing w:line="10799" w:lineRule="exact"/>
        <w:textAlignment w:val="center"/>
        <w:rPr/>
      </w:pPr>
      <w:r>
        <w:drawing>
          <wp:inline distT="0" distB="0" distL="0" distR="0">
            <wp:extent cx="12190094" cy="6857517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0094" cy="68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0"/>
      <w:pgSz w:w="19197" w:h="10802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5" name="IM 15"/>
          <wp:cNvGraphicFramePr/>
          <a:graphic>
            <a:graphicData uri="http://schemas.openxmlformats.org/drawingml/2006/picture">
              <pic:pic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9" name="IM 19"/>
          <wp:cNvGraphicFramePr/>
          <a:graphic>
            <a:graphicData uri="http://schemas.openxmlformats.org/drawingml/2006/picture">
              <pic:pic>
                <pic:nvPicPr>
                  <pic:cNvPr id="19" name="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21" name="IM 21"/>
          <wp:cNvGraphicFramePr/>
          <a:graphic>
            <a:graphicData uri="http://schemas.openxmlformats.org/drawingml/2006/picture">
              <pic:pic>
                <pic:nvPicPr>
                  <pic:cNvPr id="21" name="IM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1" name="IM 11"/>
          <wp:cNvGraphicFramePr/>
          <a:graphic>
            <a:graphicData uri="http://schemas.openxmlformats.org/drawingml/2006/picture">
              <pic:pic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3" name="IM 13"/>
          <wp:cNvGraphicFramePr/>
          <a:graphic>
            <a:graphicData uri="http://schemas.openxmlformats.org/drawingml/2006/picture">
              <pic:pic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0094" cy="6859269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0094" cy="6859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0" Type="http://schemas.openxmlformats.org/officeDocument/2006/relationships/fontTable" Target="fontTable.xml"/><Relationship Id="rId3" Type="http://schemas.openxmlformats.org/officeDocument/2006/relationships/header" Target="header2.xml"/><Relationship Id="rId29" Type="http://schemas.openxmlformats.org/officeDocument/2006/relationships/styles" Target="styles.xml"/><Relationship Id="rId28" Type="http://schemas.openxmlformats.org/officeDocument/2006/relationships/settings" Target="settings.xml"/><Relationship Id="rId27" Type="http://schemas.openxmlformats.org/officeDocument/2006/relationships/image" Target="media/image12.png"/><Relationship Id="rId26" Type="http://schemas.openxmlformats.org/officeDocument/2006/relationships/header" Target="header16.xml"/><Relationship Id="rId25" Type="http://schemas.openxmlformats.org/officeDocument/2006/relationships/header" Target="header15.xml"/><Relationship Id="rId24" Type="http://schemas.openxmlformats.org/officeDocument/2006/relationships/header" Target="header14.xml"/><Relationship Id="rId23" Type="http://schemas.openxmlformats.org/officeDocument/2006/relationships/header" Target="header13.xml"/><Relationship Id="rId22" Type="http://schemas.openxmlformats.org/officeDocument/2006/relationships/header" Target="header12.xml"/><Relationship Id="rId21" Type="http://schemas.openxmlformats.org/officeDocument/2006/relationships/image" Target="media/image11.png"/><Relationship Id="rId20" Type="http://schemas.openxmlformats.org/officeDocument/2006/relationships/header" Target="header11.xml"/><Relationship Id="rId2" Type="http://schemas.openxmlformats.org/officeDocument/2006/relationships/image" Target="media/image2.png"/><Relationship Id="rId19" Type="http://schemas.openxmlformats.org/officeDocument/2006/relationships/header" Target="header10.xml"/><Relationship Id="rId18" Type="http://schemas.openxmlformats.org/officeDocument/2006/relationships/header" Target="header9.xml"/><Relationship Id="rId17" Type="http://schemas.openxmlformats.org/officeDocument/2006/relationships/header" Target="header8.xml"/><Relationship Id="rId16" Type="http://schemas.openxmlformats.org/officeDocument/2006/relationships/header" Target="header7.xml"/><Relationship Id="rId15" Type="http://schemas.openxmlformats.org/officeDocument/2006/relationships/header" Target="header6.xml"/><Relationship Id="rId14" Type="http://schemas.openxmlformats.org/officeDocument/2006/relationships/header" Target="header5.xml"/><Relationship Id="rId13" Type="http://schemas.openxmlformats.org/officeDocument/2006/relationships/header" Target="header4.xml"/><Relationship Id="rId12" Type="http://schemas.openxmlformats.org/officeDocument/2006/relationships/image" Target="media/image10.png"/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2023-06-26T16:51:26Z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2023-06-26T16:53:06</vt:filetime>
  </op:property>
</op:Properties>
</file>